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2B41" w14:textId="77777777" w:rsidR="00E87807" w:rsidRPr="00980B2F" w:rsidRDefault="00980B2F" w:rsidP="00980B2F">
      <w:pPr>
        <w:jc w:val="center"/>
        <w:rPr>
          <w:b/>
          <w:sz w:val="24"/>
          <w:szCs w:val="24"/>
        </w:rPr>
      </w:pPr>
      <w:r w:rsidRPr="00980B2F">
        <w:rPr>
          <w:b/>
          <w:sz w:val="24"/>
          <w:szCs w:val="24"/>
        </w:rPr>
        <w:t xml:space="preserve">Burn MCI </w:t>
      </w:r>
      <w:r w:rsidR="00E2227B">
        <w:rPr>
          <w:b/>
          <w:sz w:val="24"/>
          <w:szCs w:val="24"/>
        </w:rPr>
        <w:t>Supply</w:t>
      </w:r>
      <w:r>
        <w:rPr>
          <w:b/>
          <w:sz w:val="24"/>
          <w:szCs w:val="24"/>
        </w:rPr>
        <w:t xml:space="preserve"> List for H</w:t>
      </w:r>
      <w:r w:rsidRPr="00980B2F">
        <w:rPr>
          <w:b/>
          <w:sz w:val="24"/>
          <w:szCs w:val="24"/>
        </w:rPr>
        <w:t>ospitals</w:t>
      </w:r>
    </w:p>
    <w:p w14:paraId="37D23927" w14:textId="77777777" w:rsidR="00980B2F" w:rsidRPr="00980B2F" w:rsidRDefault="00EB7191" w:rsidP="00980B2F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B2780">
        <w:rPr>
          <w:sz w:val="24"/>
          <w:szCs w:val="24"/>
        </w:rPr>
        <w:t>supply</w:t>
      </w:r>
      <w:r>
        <w:rPr>
          <w:sz w:val="24"/>
          <w:szCs w:val="24"/>
        </w:rPr>
        <w:t xml:space="preserve"> list </w:t>
      </w:r>
      <w:r w:rsidR="009B2780">
        <w:rPr>
          <w:sz w:val="24"/>
          <w:szCs w:val="24"/>
        </w:rPr>
        <w:t>is a resource for Wisconsin hospitals</w:t>
      </w:r>
      <w:r>
        <w:rPr>
          <w:sz w:val="24"/>
          <w:szCs w:val="24"/>
        </w:rPr>
        <w:t xml:space="preserve"> to understand</w:t>
      </w:r>
      <w:r w:rsidR="009B278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9B2780">
        <w:rPr>
          <w:sz w:val="24"/>
          <w:szCs w:val="24"/>
        </w:rPr>
        <w:t xml:space="preserve">potential </w:t>
      </w:r>
      <w:r>
        <w:rPr>
          <w:sz w:val="24"/>
          <w:szCs w:val="24"/>
        </w:rPr>
        <w:t>supply needs of burn patients. This list reflects the assumption that hospitals already have supplies on hand to care for a large number of patients without burn injuries. Therefore, this list focuses on medications, dressings, and other supplies specific to burn injury needs</w:t>
      </w:r>
      <w:r w:rsidR="009B2780">
        <w:rPr>
          <w:sz w:val="24"/>
          <w:szCs w:val="24"/>
        </w:rPr>
        <w:t xml:space="preserve">. It should be considered </w:t>
      </w:r>
      <w:r w:rsidR="00AA7BE3">
        <w:rPr>
          <w:sz w:val="24"/>
          <w:szCs w:val="24"/>
        </w:rPr>
        <w:t>that</w:t>
      </w:r>
      <w:r w:rsidR="009B2780">
        <w:rPr>
          <w:sz w:val="24"/>
          <w:szCs w:val="24"/>
        </w:rPr>
        <w:t xml:space="preserve"> burn supplies</w:t>
      </w:r>
      <w:r w:rsidR="00AA7BE3">
        <w:rPr>
          <w:sz w:val="24"/>
          <w:szCs w:val="24"/>
        </w:rPr>
        <w:t xml:space="preserve"> be stocked</w:t>
      </w:r>
      <w:r w:rsidR="009B2780">
        <w:rPr>
          <w:sz w:val="24"/>
          <w:szCs w:val="24"/>
        </w:rPr>
        <w:t xml:space="preserve"> to care for patients for up to 72-hours as outlined in the state burn surge plan.</w:t>
      </w:r>
    </w:p>
    <w:p w14:paraId="16E74D29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>8 cm x 18 cm (3 x 7 inch) sheets petroleum-impregnated gauze (e.g., Adaptic)</w:t>
      </w:r>
    </w:p>
    <w:p w14:paraId="4287D604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>10 cm (4 inch) rolls of stretchab</w:t>
      </w:r>
      <w:r w:rsidR="00EB7191">
        <w:rPr>
          <w:sz w:val="24"/>
          <w:szCs w:val="24"/>
        </w:rPr>
        <w:t xml:space="preserve">le roller gauze (e.g., Kerlix). A </w:t>
      </w:r>
      <w:r w:rsidRPr="00980B2F">
        <w:rPr>
          <w:sz w:val="24"/>
          <w:szCs w:val="24"/>
        </w:rPr>
        <w:t>variety of</w:t>
      </w:r>
      <w:r w:rsidR="00EB7191">
        <w:rPr>
          <w:sz w:val="24"/>
          <w:szCs w:val="24"/>
        </w:rPr>
        <w:t xml:space="preserve"> other</w:t>
      </w:r>
      <w:r w:rsidRPr="00980B2F">
        <w:rPr>
          <w:sz w:val="24"/>
          <w:szCs w:val="24"/>
        </w:rPr>
        <w:t xml:space="preserve"> sizes</w:t>
      </w:r>
      <w:r w:rsidR="00EB7191">
        <w:rPr>
          <w:sz w:val="24"/>
          <w:szCs w:val="24"/>
        </w:rPr>
        <w:t xml:space="preserve"> is</w:t>
      </w:r>
      <w:r w:rsidRPr="00980B2F">
        <w:rPr>
          <w:sz w:val="24"/>
          <w:szCs w:val="24"/>
        </w:rPr>
        <w:t xml:space="preserve"> suggested</w:t>
      </w:r>
    </w:p>
    <w:p w14:paraId="702A332A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>120 gm (4oz) tube bacitracin</w:t>
      </w:r>
    </w:p>
    <w:p w14:paraId="1DF9B8B0" w14:textId="77777777" w:rsidR="00980B2F" w:rsidRPr="00980B2F" w:rsidRDefault="00EB7191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 xml:space="preserve">800 mg </w:t>
      </w:r>
      <w:r>
        <w:rPr>
          <w:sz w:val="24"/>
          <w:szCs w:val="24"/>
        </w:rPr>
        <w:t>t</w:t>
      </w:r>
      <w:r w:rsidR="00980B2F" w:rsidRPr="00980B2F">
        <w:rPr>
          <w:sz w:val="24"/>
          <w:szCs w:val="24"/>
        </w:rPr>
        <w:t>ablets of ibuprofen and stock liquid form for pediatric use</w:t>
      </w:r>
    </w:p>
    <w:p w14:paraId="102EF71B" w14:textId="77777777" w:rsidR="00EB7191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 xml:space="preserve">Opioid analgesic tablets </w:t>
      </w:r>
      <w:r w:rsidR="00EB7191">
        <w:rPr>
          <w:sz w:val="24"/>
          <w:szCs w:val="24"/>
        </w:rPr>
        <w:t xml:space="preserve">and pediatric alternative: </w:t>
      </w:r>
      <w:r w:rsidRPr="00980B2F">
        <w:rPr>
          <w:sz w:val="24"/>
          <w:szCs w:val="24"/>
        </w:rPr>
        <w:t xml:space="preserve">50 tablets for </w:t>
      </w:r>
      <w:r w:rsidR="00EB7191" w:rsidRPr="00980B2F">
        <w:rPr>
          <w:sz w:val="24"/>
          <w:szCs w:val="24"/>
        </w:rPr>
        <w:t>5-day</w:t>
      </w:r>
      <w:r w:rsidRPr="00980B2F">
        <w:rPr>
          <w:sz w:val="24"/>
          <w:szCs w:val="24"/>
        </w:rPr>
        <w:t xml:space="preserve"> supply if</w:t>
      </w:r>
      <w:r w:rsidR="00EB7191">
        <w:rPr>
          <w:sz w:val="24"/>
          <w:szCs w:val="24"/>
        </w:rPr>
        <w:t xml:space="preserve"> using 1-2 tablets every 4 to 6 hours.</w:t>
      </w:r>
      <w:r w:rsidR="00EB7191" w:rsidRPr="00980B2F">
        <w:rPr>
          <w:sz w:val="24"/>
          <w:szCs w:val="24"/>
        </w:rPr>
        <w:t xml:space="preserve"> </w:t>
      </w:r>
    </w:p>
    <w:p w14:paraId="74CA7F00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 xml:space="preserve">8 cm x 18 cm (3 x </w:t>
      </w:r>
      <w:r w:rsidR="00EB7191">
        <w:rPr>
          <w:sz w:val="24"/>
          <w:szCs w:val="24"/>
        </w:rPr>
        <w:t xml:space="preserve">7 inch) sheets petroleum gauze. The average amount for a major burn patient with normal body mass is </w:t>
      </w:r>
      <w:r w:rsidRPr="00980B2F">
        <w:rPr>
          <w:sz w:val="24"/>
          <w:szCs w:val="24"/>
        </w:rPr>
        <w:t>about 50 % of total body surfa</w:t>
      </w:r>
      <w:r w:rsidR="00EB7191">
        <w:rPr>
          <w:sz w:val="24"/>
          <w:szCs w:val="24"/>
        </w:rPr>
        <w:t>ce area (TBSA).</w:t>
      </w:r>
    </w:p>
    <w:p w14:paraId="17772C0C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 xml:space="preserve">Rolls of 10 cm (4 </w:t>
      </w:r>
      <w:r w:rsidR="00EB7191">
        <w:rPr>
          <w:sz w:val="24"/>
          <w:szCs w:val="24"/>
        </w:rPr>
        <w:t xml:space="preserve">inch) stretchable roller gauze (e.g. </w:t>
      </w:r>
      <w:r w:rsidRPr="00980B2F">
        <w:rPr>
          <w:sz w:val="24"/>
          <w:szCs w:val="24"/>
        </w:rPr>
        <w:t>Kerlix</w:t>
      </w:r>
      <w:r w:rsidR="00EB7191">
        <w:rPr>
          <w:sz w:val="24"/>
          <w:szCs w:val="24"/>
        </w:rPr>
        <w:t>)</w:t>
      </w:r>
    </w:p>
    <w:p w14:paraId="51E18460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>5 cm (2 inch) rolls stretchable roller gauze (e.g. Kerlix) for fin</w:t>
      </w:r>
      <w:r w:rsidR="00EB7191">
        <w:rPr>
          <w:sz w:val="24"/>
          <w:szCs w:val="24"/>
        </w:rPr>
        <w:t xml:space="preserve">gers/toes/small area wrapping. A </w:t>
      </w:r>
      <w:r w:rsidR="00EB7191" w:rsidRPr="00980B2F">
        <w:rPr>
          <w:sz w:val="24"/>
          <w:szCs w:val="24"/>
        </w:rPr>
        <w:t>4-inch</w:t>
      </w:r>
      <w:r w:rsidR="00EB7191">
        <w:rPr>
          <w:sz w:val="24"/>
          <w:szCs w:val="24"/>
        </w:rPr>
        <w:t xml:space="preserve"> roll cut in half can be used as a substitute. </w:t>
      </w:r>
    </w:p>
    <w:p w14:paraId="53A043AC" w14:textId="77777777" w:rsidR="00980B2F" w:rsidRPr="00980B2F" w:rsidRDefault="00EB7191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Morphine (or equivalent):</w:t>
      </w:r>
      <w:r w:rsidR="00980B2F" w:rsidRPr="00980B2F">
        <w:rPr>
          <w:sz w:val="24"/>
          <w:szCs w:val="24"/>
        </w:rPr>
        <w:t xml:space="preserve"> 10 mg/hour x 24 hours per patient</w:t>
      </w:r>
    </w:p>
    <w:p w14:paraId="4650ED6F" w14:textId="77777777" w:rsidR="00980B2F" w:rsidRPr="00980B2F" w:rsidRDefault="00EB7191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Opioid analgesia and anxiolytics: large doses </w:t>
      </w:r>
      <w:r w:rsidR="00980B2F" w:rsidRPr="00980B2F">
        <w:rPr>
          <w:sz w:val="24"/>
          <w:szCs w:val="24"/>
        </w:rPr>
        <w:t>m</w:t>
      </w:r>
      <w:r>
        <w:rPr>
          <w:sz w:val="24"/>
          <w:szCs w:val="24"/>
        </w:rPr>
        <w:t xml:space="preserve">ay be required by burn patients and </w:t>
      </w:r>
      <w:r w:rsidR="00980B2F" w:rsidRPr="00980B2F">
        <w:rPr>
          <w:sz w:val="24"/>
          <w:szCs w:val="24"/>
        </w:rPr>
        <w:t>any patients that are</w:t>
      </w:r>
      <w:r>
        <w:rPr>
          <w:sz w:val="24"/>
          <w:szCs w:val="24"/>
        </w:rPr>
        <w:t xml:space="preserve"> only receiving palliative care</w:t>
      </w:r>
    </w:p>
    <w:p w14:paraId="29B18DE6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>Tetanus booster per 2 patients</w:t>
      </w:r>
    </w:p>
    <w:p w14:paraId="1B9D6A7A" w14:textId="77777777" w:rsidR="00980B2F" w:rsidRPr="00980B2F" w:rsidRDefault="00EB7191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IV Fluid: </w:t>
      </w:r>
      <w:r w:rsidR="00980B2F" w:rsidRPr="00980B2F">
        <w:rPr>
          <w:sz w:val="24"/>
          <w:szCs w:val="24"/>
        </w:rPr>
        <w:t xml:space="preserve">Lactated Ringers preferred, but saline is acceptable </w:t>
      </w:r>
    </w:p>
    <w:p w14:paraId="010A8D76" w14:textId="77777777" w:rsidR="00980B2F" w:rsidRPr="00980B2F" w:rsidRDefault="00980B2F" w:rsidP="00EB719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80B2F">
        <w:rPr>
          <w:sz w:val="24"/>
          <w:szCs w:val="24"/>
        </w:rPr>
        <w:t>Central line</w:t>
      </w:r>
      <w:r w:rsidR="00EB7191">
        <w:rPr>
          <w:sz w:val="24"/>
          <w:szCs w:val="24"/>
        </w:rPr>
        <w:t>: adult and pediatric sizes</w:t>
      </w:r>
    </w:p>
    <w:p w14:paraId="0CE191C1" w14:textId="77777777" w:rsidR="00980B2F" w:rsidRDefault="00980B2F">
      <w:pPr>
        <w:rPr>
          <w:sz w:val="24"/>
          <w:szCs w:val="24"/>
        </w:rPr>
      </w:pPr>
    </w:p>
    <w:p w14:paraId="44A16132" w14:textId="77777777" w:rsidR="00226FF4" w:rsidRPr="00226FF4" w:rsidRDefault="00226FF4" w:rsidP="00226FF4">
      <w:pPr>
        <w:jc w:val="center"/>
        <w:rPr>
          <w:b/>
          <w:sz w:val="24"/>
          <w:szCs w:val="24"/>
        </w:rPr>
      </w:pPr>
      <w:r w:rsidRPr="00226FF4">
        <w:rPr>
          <w:b/>
          <w:sz w:val="24"/>
          <w:szCs w:val="24"/>
        </w:rPr>
        <w:t>(</w:t>
      </w:r>
      <w:r w:rsidR="00EB7191">
        <w:rPr>
          <w:b/>
          <w:sz w:val="24"/>
          <w:szCs w:val="24"/>
        </w:rPr>
        <w:t xml:space="preserve">Updated </w:t>
      </w:r>
      <w:r w:rsidRPr="00226FF4">
        <w:rPr>
          <w:b/>
          <w:sz w:val="24"/>
          <w:szCs w:val="24"/>
        </w:rPr>
        <w:t>June 2021)</w:t>
      </w:r>
    </w:p>
    <w:sectPr w:rsidR="00226FF4" w:rsidRPr="00226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A189" w14:textId="77777777" w:rsidR="005A49C2" w:rsidRDefault="005A49C2" w:rsidP="001E3BAB">
      <w:pPr>
        <w:spacing w:after="0" w:line="240" w:lineRule="auto"/>
      </w:pPr>
      <w:r>
        <w:separator/>
      </w:r>
    </w:p>
  </w:endnote>
  <w:endnote w:type="continuationSeparator" w:id="0">
    <w:p w14:paraId="3DA21580" w14:textId="77777777" w:rsidR="005A49C2" w:rsidRDefault="005A49C2" w:rsidP="001E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0A39" w14:textId="77777777" w:rsidR="001E3BAB" w:rsidRDefault="001E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1DB5" w14:textId="77777777" w:rsidR="001E3BAB" w:rsidRDefault="001E3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C85C" w14:textId="77777777" w:rsidR="001E3BAB" w:rsidRDefault="001E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6849" w14:textId="77777777" w:rsidR="005A49C2" w:rsidRDefault="005A49C2" w:rsidP="001E3BAB">
      <w:pPr>
        <w:spacing w:after="0" w:line="240" w:lineRule="auto"/>
      </w:pPr>
      <w:r>
        <w:separator/>
      </w:r>
    </w:p>
  </w:footnote>
  <w:footnote w:type="continuationSeparator" w:id="0">
    <w:p w14:paraId="61AD5EA0" w14:textId="77777777" w:rsidR="005A49C2" w:rsidRDefault="005A49C2" w:rsidP="001E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992" w14:textId="77777777" w:rsidR="001E3BAB" w:rsidRDefault="001E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891B" w14:textId="77777777" w:rsidR="001E3BAB" w:rsidRDefault="001E3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4500" w14:textId="77777777" w:rsidR="001E3BAB" w:rsidRDefault="001E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06A"/>
    <w:multiLevelType w:val="hybridMultilevel"/>
    <w:tmpl w:val="7BDE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4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2F"/>
    <w:rsid w:val="001E3BAB"/>
    <w:rsid w:val="00226FF4"/>
    <w:rsid w:val="00296DE6"/>
    <w:rsid w:val="003A7BB6"/>
    <w:rsid w:val="005A49C2"/>
    <w:rsid w:val="00980B2F"/>
    <w:rsid w:val="009B2780"/>
    <w:rsid w:val="00AA7BE3"/>
    <w:rsid w:val="00E2227B"/>
    <w:rsid w:val="00EB7191"/>
    <w:rsid w:val="00F1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E7FE0"/>
  <w15:chartTrackingRefBased/>
  <w15:docId w15:val="{F885BD0A-A3F9-4A6C-BB7B-DE88E6A2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AB"/>
  </w:style>
  <w:style w:type="paragraph" w:styleId="Footer">
    <w:name w:val="footer"/>
    <w:basedOn w:val="Normal"/>
    <w:link w:val="FooterChar"/>
    <w:uiPriority w:val="99"/>
    <w:unhideWhenUsed/>
    <w:rsid w:val="001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Amanda J</dc:creator>
  <cp:keywords/>
  <dc:description/>
  <cp:lastModifiedBy>Tracey Froiland</cp:lastModifiedBy>
  <cp:revision>2</cp:revision>
  <dcterms:created xsi:type="dcterms:W3CDTF">2022-12-20T14:53:00Z</dcterms:created>
  <dcterms:modified xsi:type="dcterms:W3CDTF">2022-12-20T14:53:00Z</dcterms:modified>
</cp:coreProperties>
</file>