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83F4" w14:textId="77777777" w:rsidR="00C22765" w:rsidRPr="006979DA" w:rsidRDefault="00C22765" w:rsidP="00B63BBA">
      <w:pPr>
        <w:spacing w:line="240" w:lineRule="auto"/>
        <w:jc w:val="center"/>
        <w:rPr>
          <w:rFonts w:ascii="Times New Roman" w:hAnsi="Times New Roman" w:cs="Times New Roman"/>
          <w:b/>
          <w:sz w:val="44"/>
          <w:szCs w:val="32"/>
        </w:rPr>
      </w:pPr>
    </w:p>
    <w:p w14:paraId="2164A154" w14:textId="3165BDF5" w:rsidR="00C22765" w:rsidRPr="006979DA" w:rsidRDefault="005D655E" w:rsidP="00B63BBA">
      <w:pPr>
        <w:spacing w:line="240" w:lineRule="auto"/>
        <w:jc w:val="center"/>
        <w:rPr>
          <w:rFonts w:ascii="Times New Roman" w:hAnsi="Times New Roman" w:cs="Times New Roman"/>
          <w:b/>
          <w:sz w:val="44"/>
          <w:szCs w:val="32"/>
        </w:rPr>
      </w:pPr>
      <w:r>
        <w:rPr>
          <w:rFonts w:ascii="Times New Roman" w:hAnsi="Times New Roman" w:cs="Times New Roman"/>
          <w:b/>
          <w:noProof/>
          <w:sz w:val="44"/>
          <w:szCs w:val="32"/>
        </w:rPr>
        <w:drawing>
          <wp:inline distT="0" distB="0" distL="0" distR="0" wp14:anchorId="2735368C" wp14:editId="41003F4E">
            <wp:extent cx="3221764" cy="2164020"/>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8084" cy="2188415"/>
                    </a:xfrm>
                    <a:prstGeom prst="rect">
                      <a:avLst/>
                    </a:prstGeom>
                  </pic:spPr>
                </pic:pic>
              </a:graphicData>
            </a:graphic>
          </wp:inline>
        </w:drawing>
      </w:r>
    </w:p>
    <w:p w14:paraId="2C8DC7F8" w14:textId="77777777" w:rsidR="00C22765" w:rsidRPr="006979DA" w:rsidRDefault="00C22765" w:rsidP="00B63BBA">
      <w:pPr>
        <w:spacing w:line="240" w:lineRule="auto"/>
        <w:jc w:val="center"/>
        <w:rPr>
          <w:rFonts w:ascii="Times New Roman" w:hAnsi="Times New Roman" w:cs="Times New Roman"/>
          <w:b/>
          <w:sz w:val="44"/>
          <w:szCs w:val="32"/>
        </w:rPr>
      </w:pPr>
    </w:p>
    <w:p w14:paraId="563D2E43" w14:textId="77777777" w:rsidR="00C22765" w:rsidRPr="006979DA" w:rsidRDefault="00C22765" w:rsidP="00B63BBA">
      <w:pPr>
        <w:spacing w:line="240" w:lineRule="auto"/>
        <w:jc w:val="center"/>
        <w:rPr>
          <w:rFonts w:ascii="Times New Roman" w:hAnsi="Times New Roman" w:cs="Times New Roman"/>
          <w:b/>
          <w:sz w:val="40"/>
        </w:rPr>
      </w:pPr>
    </w:p>
    <w:p w14:paraId="0424B0E3" w14:textId="77777777" w:rsidR="00C22765" w:rsidRPr="006979DA" w:rsidRDefault="00C22765" w:rsidP="00B63BBA">
      <w:pPr>
        <w:spacing w:line="240" w:lineRule="auto"/>
        <w:jc w:val="center"/>
        <w:rPr>
          <w:rFonts w:ascii="Times New Roman" w:hAnsi="Times New Roman" w:cs="Times New Roman"/>
          <w:b/>
          <w:sz w:val="40"/>
        </w:rPr>
      </w:pPr>
    </w:p>
    <w:p w14:paraId="100EE5DD" w14:textId="7B0FEC2B" w:rsidR="00C22765" w:rsidRPr="006979DA" w:rsidRDefault="005D655E" w:rsidP="00B63BBA">
      <w:pPr>
        <w:spacing w:line="240" w:lineRule="auto"/>
        <w:jc w:val="center"/>
        <w:rPr>
          <w:rFonts w:ascii="Times New Roman" w:hAnsi="Times New Roman" w:cs="Times New Roman"/>
          <w:b/>
          <w:sz w:val="40"/>
        </w:rPr>
      </w:pPr>
      <w:r>
        <w:rPr>
          <w:rFonts w:ascii="Times New Roman" w:hAnsi="Times New Roman" w:cs="Times New Roman"/>
          <w:b/>
          <w:sz w:val="40"/>
        </w:rPr>
        <w:t>FVHERC</w:t>
      </w:r>
      <w:r w:rsidR="00C22765" w:rsidRPr="006979DA">
        <w:rPr>
          <w:rFonts w:ascii="Times New Roman" w:hAnsi="Times New Roman" w:cs="Times New Roman"/>
          <w:b/>
          <w:sz w:val="40"/>
        </w:rPr>
        <w:t xml:space="preserve"> Wisconsin HERC </w:t>
      </w:r>
      <w:r w:rsidR="001D73D2" w:rsidRPr="006979DA">
        <w:rPr>
          <w:rFonts w:ascii="Times New Roman" w:hAnsi="Times New Roman" w:cs="Times New Roman"/>
          <w:b/>
          <w:sz w:val="40"/>
        </w:rPr>
        <w:t>Chemical HAZMAT</w:t>
      </w:r>
      <w:r w:rsidR="00EC3745" w:rsidRPr="006979DA">
        <w:rPr>
          <w:rFonts w:ascii="Times New Roman" w:hAnsi="Times New Roman" w:cs="Times New Roman"/>
          <w:b/>
          <w:sz w:val="40"/>
        </w:rPr>
        <w:t xml:space="preserve"> Health C</w:t>
      </w:r>
      <w:r w:rsidR="00C22765" w:rsidRPr="006979DA">
        <w:rPr>
          <w:rFonts w:ascii="Times New Roman" w:hAnsi="Times New Roman" w:cs="Times New Roman"/>
          <w:b/>
          <w:sz w:val="40"/>
        </w:rPr>
        <w:t xml:space="preserve">are Surge Annex </w:t>
      </w:r>
    </w:p>
    <w:p w14:paraId="26951BF0" w14:textId="77777777" w:rsidR="00C22765" w:rsidRPr="006979DA" w:rsidRDefault="00C22765" w:rsidP="00B63BBA">
      <w:pPr>
        <w:spacing w:line="240" w:lineRule="auto"/>
        <w:rPr>
          <w:rFonts w:ascii="Times New Roman" w:hAnsi="Times New Roman" w:cs="Times New Roman"/>
        </w:rPr>
      </w:pPr>
    </w:p>
    <w:p w14:paraId="415D990F" w14:textId="77777777" w:rsidR="00C22765" w:rsidRPr="006979DA" w:rsidRDefault="00C22765" w:rsidP="00B63BBA">
      <w:pPr>
        <w:spacing w:line="240" w:lineRule="auto"/>
        <w:rPr>
          <w:rFonts w:ascii="Times New Roman" w:hAnsi="Times New Roman" w:cs="Times New Roman"/>
        </w:rPr>
      </w:pPr>
    </w:p>
    <w:p w14:paraId="3EC5AA3E" w14:textId="77777777" w:rsidR="00C22765" w:rsidRPr="006979DA" w:rsidRDefault="00C22765" w:rsidP="00B63BBA">
      <w:pPr>
        <w:spacing w:line="240" w:lineRule="auto"/>
        <w:rPr>
          <w:rFonts w:ascii="Times New Roman" w:hAnsi="Times New Roman" w:cs="Times New Roman"/>
        </w:rPr>
      </w:pPr>
    </w:p>
    <w:p w14:paraId="4020E58A" w14:textId="77777777" w:rsidR="00C22765" w:rsidRPr="006979DA" w:rsidRDefault="00C22765" w:rsidP="00B63BBA">
      <w:pPr>
        <w:spacing w:line="240" w:lineRule="auto"/>
        <w:rPr>
          <w:rFonts w:ascii="Times New Roman" w:hAnsi="Times New Roman" w:cs="Times New Roman"/>
        </w:rPr>
      </w:pPr>
    </w:p>
    <w:p w14:paraId="4912B0E1" w14:textId="77777777" w:rsidR="00C22765" w:rsidRPr="006979DA" w:rsidRDefault="00C22765" w:rsidP="00B63BBA">
      <w:pPr>
        <w:spacing w:line="240" w:lineRule="auto"/>
        <w:rPr>
          <w:rFonts w:ascii="Times New Roman" w:hAnsi="Times New Roman" w:cs="Times New Roman"/>
        </w:rPr>
      </w:pPr>
    </w:p>
    <w:p w14:paraId="6D188818" w14:textId="77777777" w:rsidR="00C22765" w:rsidRPr="006979DA" w:rsidRDefault="00C22765" w:rsidP="00B63BBA">
      <w:pPr>
        <w:spacing w:line="240" w:lineRule="auto"/>
        <w:rPr>
          <w:rFonts w:ascii="Times New Roman" w:hAnsi="Times New Roman" w:cs="Times New Roman"/>
        </w:rPr>
      </w:pPr>
    </w:p>
    <w:p w14:paraId="6129F12F" w14:textId="77777777" w:rsidR="00C22765" w:rsidRPr="006979DA" w:rsidRDefault="00C22765" w:rsidP="00B63BBA">
      <w:pPr>
        <w:spacing w:line="240" w:lineRule="auto"/>
        <w:rPr>
          <w:rFonts w:ascii="Times New Roman" w:hAnsi="Times New Roman" w:cs="Times New Roman"/>
        </w:rPr>
      </w:pPr>
    </w:p>
    <w:p w14:paraId="21168AA4" w14:textId="77777777" w:rsidR="00C22765" w:rsidRPr="006979DA" w:rsidRDefault="00C22765" w:rsidP="00B63BBA">
      <w:pPr>
        <w:spacing w:line="240" w:lineRule="auto"/>
        <w:jc w:val="center"/>
        <w:rPr>
          <w:rFonts w:ascii="Times New Roman" w:hAnsi="Times New Roman" w:cs="Times New Roman"/>
        </w:rPr>
      </w:pPr>
    </w:p>
    <w:p w14:paraId="78D18500" w14:textId="06261BD8" w:rsidR="00C22765" w:rsidRPr="006979DA" w:rsidRDefault="005D655E" w:rsidP="00B63BBA">
      <w:pPr>
        <w:spacing w:line="240" w:lineRule="auto"/>
        <w:jc w:val="center"/>
        <w:rPr>
          <w:rFonts w:ascii="Times New Roman" w:hAnsi="Times New Roman" w:cs="Times New Roman"/>
          <w:sz w:val="24"/>
          <w:szCs w:val="24"/>
        </w:rPr>
      </w:pPr>
      <w:r>
        <w:rPr>
          <w:rFonts w:ascii="Times New Roman" w:hAnsi="Times New Roman" w:cs="Times New Roman"/>
          <w:sz w:val="24"/>
          <w:szCs w:val="24"/>
        </w:rPr>
        <w:t>December 19, 2022</w:t>
      </w:r>
    </w:p>
    <w:p w14:paraId="18E83F86" w14:textId="77777777" w:rsidR="00C22765" w:rsidRPr="006979DA" w:rsidRDefault="00C22765" w:rsidP="00B63BBA">
      <w:pPr>
        <w:spacing w:after="160" w:line="240" w:lineRule="auto"/>
        <w:rPr>
          <w:rFonts w:ascii="Times New Roman" w:eastAsiaTheme="majorEastAsia" w:hAnsi="Times New Roman" w:cs="Times New Roman"/>
          <w:b/>
          <w:sz w:val="32"/>
          <w:szCs w:val="32"/>
        </w:rPr>
      </w:pPr>
      <w:r w:rsidRPr="006979DA">
        <w:rPr>
          <w:rFonts w:ascii="Times New Roman" w:eastAsiaTheme="majorEastAsia" w:hAnsi="Times New Roman" w:cs="Times New Roman"/>
          <w:b/>
          <w:sz w:val="32"/>
          <w:szCs w:val="32"/>
        </w:rPr>
        <w:br w:type="page"/>
      </w:r>
      <w:bookmarkStart w:id="0" w:name="_Toc88225702"/>
    </w:p>
    <w:p w14:paraId="20D9A829" w14:textId="1A53ACD1" w:rsidR="00C22765" w:rsidRPr="006979DA" w:rsidRDefault="00C22765" w:rsidP="00B63BBA">
      <w:pPr>
        <w:pStyle w:val="Heading1"/>
        <w:pBdr>
          <w:bottom w:val="single" w:sz="4" w:space="1" w:color="auto"/>
        </w:pBdr>
        <w:spacing w:line="240" w:lineRule="auto"/>
        <w:rPr>
          <w:rFonts w:ascii="Times New Roman" w:hAnsi="Times New Roman" w:cs="Times New Roman"/>
          <w:b/>
          <w:bCs/>
          <w:sz w:val="28"/>
        </w:rPr>
      </w:pPr>
      <w:bookmarkStart w:id="1" w:name="_Toc94006727"/>
      <w:r w:rsidRPr="006979DA">
        <w:rPr>
          <w:rFonts w:ascii="Times New Roman" w:hAnsi="Times New Roman" w:cs="Times New Roman"/>
          <w:b/>
          <w:bCs/>
          <w:color w:val="auto"/>
          <w:sz w:val="28"/>
        </w:rPr>
        <w:lastRenderedPageBreak/>
        <w:t>Introduction</w:t>
      </w:r>
      <w:bookmarkEnd w:id="0"/>
      <w:bookmarkEnd w:id="1"/>
    </w:p>
    <w:p w14:paraId="5914F460" w14:textId="77777777" w:rsidR="00C22765" w:rsidRPr="006979DA" w:rsidRDefault="00C22765" w:rsidP="00B63BBA">
      <w:pPr>
        <w:pStyle w:val="Heading2"/>
        <w:spacing w:line="240" w:lineRule="auto"/>
        <w:rPr>
          <w:rFonts w:ascii="Times New Roman" w:hAnsi="Times New Roman" w:cs="Times New Roman"/>
          <w:b/>
          <w:bCs/>
          <w:color w:val="auto"/>
        </w:rPr>
      </w:pPr>
      <w:bookmarkStart w:id="2" w:name="_Toc88225703"/>
      <w:bookmarkStart w:id="3" w:name="_Toc94006728"/>
      <w:r w:rsidRPr="006979DA">
        <w:rPr>
          <w:rFonts w:ascii="Times New Roman" w:hAnsi="Times New Roman" w:cs="Times New Roman"/>
          <w:b/>
          <w:bCs/>
          <w:color w:val="auto"/>
        </w:rPr>
        <w:t>Purpose</w:t>
      </w:r>
      <w:bookmarkEnd w:id="2"/>
      <w:bookmarkEnd w:id="3"/>
    </w:p>
    <w:p w14:paraId="6131C5A5" w14:textId="02428285" w:rsidR="006979DA" w:rsidRPr="00360557" w:rsidRDefault="006979DA" w:rsidP="00B63BBA">
      <w:pPr>
        <w:spacing w:line="240" w:lineRule="auto"/>
        <w:rPr>
          <w:rFonts w:ascii="Times New Roman" w:hAnsi="Times New Roman" w:cs="Times New Roman"/>
          <w:sz w:val="24"/>
          <w:szCs w:val="24"/>
        </w:rPr>
      </w:pPr>
      <w:bookmarkStart w:id="4" w:name="_Toc88225704"/>
      <w:bookmarkStart w:id="5" w:name="_Toc94006729"/>
      <w:r w:rsidRPr="00360557">
        <w:rPr>
          <w:rFonts w:ascii="Times New Roman" w:hAnsi="Times New Roman" w:cs="Times New Roman"/>
          <w:sz w:val="24"/>
          <w:szCs w:val="24"/>
        </w:rPr>
        <w:t xml:space="preserve">The </w:t>
      </w:r>
      <w:r w:rsidR="005D655E">
        <w:rPr>
          <w:rFonts w:ascii="Times New Roman" w:hAnsi="Times New Roman" w:cs="Times New Roman"/>
          <w:sz w:val="24"/>
          <w:szCs w:val="24"/>
        </w:rPr>
        <w:t xml:space="preserve">FVHERC </w:t>
      </w:r>
      <w:r w:rsidRPr="00360557">
        <w:rPr>
          <w:rFonts w:ascii="Times New Roman" w:hAnsi="Times New Roman" w:cs="Times New Roman"/>
          <w:sz w:val="24"/>
          <w:szCs w:val="24"/>
        </w:rPr>
        <w:t xml:space="preserve">Hospital Emergency Readiness Coalition provides these guidelines to the region for responding to a </w:t>
      </w:r>
      <w:r>
        <w:rPr>
          <w:rFonts w:ascii="Times New Roman" w:hAnsi="Times New Roman" w:cs="Times New Roman"/>
          <w:sz w:val="24"/>
          <w:szCs w:val="24"/>
        </w:rPr>
        <w:t>chemical</w:t>
      </w:r>
      <w:r w:rsidRPr="00360557">
        <w:rPr>
          <w:rFonts w:ascii="Times New Roman" w:hAnsi="Times New Roman" w:cs="Times New Roman"/>
          <w:sz w:val="24"/>
          <w:szCs w:val="24"/>
        </w:rPr>
        <w:t xml:space="preserve"> medical surge incident. </w:t>
      </w:r>
      <w:r w:rsidR="005D655E" w:rsidRPr="005D655E">
        <w:rPr>
          <w:rFonts w:ascii="Times New Roman" w:hAnsi="Times New Roman" w:cs="Times New Roman"/>
          <w:sz w:val="24"/>
          <w:szCs w:val="24"/>
        </w:rPr>
        <w:t>FV</w:t>
      </w:r>
      <w:r w:rsidRPr="005D655E">
        <w:rPr>
          <w:rFonts w:ascii="Times New Roman" w:hAnsi="Times New Roman" w:cs="Times New Roman"/>
          <w:sz w:val="24"/>
          <w:szCs w:val="24"/>
        </w:rPr>
        <w:t>HERC</w:t>
      </w:r>
      <w:r w:rsidRPr="00360557">
        <w:rPr>
          <w:rFonts w:ascii="Times New Roman" w:hAnsi="Times New Roman" w:cs="Times New Roman"/>
          <w:sz w:val="24"/>
          <w:szCs w:val="24"/>
        </w:rPr>
        <w:t xml:space="preserve"> has developed this annex to </w:t>
      </w:r>
      <w:bookmarkStart w:id="6" w:name="_Hlk118811335"/>
      <w:r w:rsidRPr="00360557">
        <w:rPr>
          <w:rFonts w:ascii="Times New Roman" w:hAnsi="Times New Roman" w:cs="Times New Roman"/>
          <w:sz w:val="24"/>
          <w:szCs w:val="24"/>
        </w:rPr>
        <w:t>support</w:t>
      </w:r>
      <w:bookmarkEnd w:id="6"/>
      <w:r w:rsidRPr="00360557">
        <w:rPr>
          <w:rFonts w:ascii="Times New Roman" w:hAnsi="Times New Roman" w:cs="Times New Roman"/>
          <w:sz w:val="24"/>
          <w:szCs w:val="24"/>
        </w:rPr>
        <w:t xml:space="preserve"> regional capabilities of health care agencies and facilities and to increase the capabilities of the region and the state. Actions described here are intended to support, not replace, any existing facility or agency policy or plan.</w:t>
      </w:r>
    </w:p>
    <w:p w14:paraId="76304B45" w14:textId="77777777" w:rsidR="00C22765" w:rsidRPr="006979DA" w:rsidRDefault="00C22765"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Scope</w:t>
      </w:r>
      <w:bookmarkEnd w:id="4"/>
      <w:bookmarkEnd w:id="5"/>
    </w:p>
    <w:p w14:paraId="785AAA5F" w14:textId="2D31C002" w:rsidR="006979DA" w:rsidRPr="00B85729" w:rsidRDefault="006979DA" w:rsidP="00B63BBA">
      <w:pPr>
        <w:spacing w:line="240" w:lineRule="auto"/>
        <w:rPr>
          <w:rFonts w:ascii="Times New Roman" w:hAnsi="Times New Roman" w:cs="Times New Roman"/>
          <w:sz w:val="24"/>
          <w:szCs w:val="24"/>
        </w:rPr>
      </w:pPr>
      <w:bookmarkStart w:id="7" w:name="_Toc88225705"/>
      <w:bookmarkStart w:id="8" w:name="_Toc94006730"/>
      <w:r w:rsidRPr="00B85729">
        <w:rPr>
          <w:rFonts w:ascii="Times New Roman" w:hAnsi="Times New Roman" w:cs="Times New Roman"/>
          <w:sz w:val="24"/>
          <w:szCs w:val="24"/>
        </w:rPr>
        <w:t xml:space="preserve">This annex provides support and guidance to supplement the </w:t>
      </w:r>
      <w:r w:rsidR="005D655E" w:rsidRPr="005D655E">
        <w:rPr>
          <w:rFonts w:ascii="Times New Roman" w:hAnsi="Times New Roman" w:cs="Times New Roman"/>
          <w:sz w:val="24"/>
          <w:szCs w:val="24"/>
        </w:rPr>
        <w:t>FV</w:t>
      </w:r>
      <w:r w:rsidRPr="005D655E">
        <w:rPr>
          <w:rFonts w:ascii="Times New Roman" w:hAnsi="Times New Roman" w:cs="Times New Roman"/>
          <w:sz w:val="24"/>
          <w:szCs w:val="24"/>
        </w:rPr>
        <w:t>HERC regional</w:t>
      </w:r>
      <w:r w:rsidRPr="00B85729">
        <w:rPr>
          <w:rFonts w:ascii="Times New Roman" w:hAnsi="Times New Roman" w:cs="Times New Roman"/>
          <w:sz w:val="24"/>
          <w:szCs w:val="24"/>
        </w:rPr>
        <w:t xml:space="preserve"> emergency response plans. Specifically, it is designed to address the process for which surge patients reach definitive care, as well as communication methods. This annex also works to address relevant capabilities listed in the Hospital Preparedness Program (HPP) and Public Health and Emergency Preparedness (PHEP) grants, of which are listed in the </w:t>
      </w:r>
      <w:r w:rsidR="006F5272">
        <w:rPr>
          <w:rFonts w:ascii="Times New Roman" w:hAnsi="Times New Roman" w:cs="Times New Roman"/>
          <w:sz w:val="24"/>
          <w:szCs w:val="24"/>
        </w:rPr>
        <w:t>s</w:t>
      </w:r>
      <w:r w:rsidRPr="00B85729">
        <w:rPr>
          <w:rFonts w:ascii="Times New Roman" w:hAnsi="Times New Roman" w:cs="Times New Roman"/>
          <w:sz w:val="24"/>
          <w:szCs w:val="24"/>
        </w:rPr>
        <w:t>tate Emergency Operations Plan (EOP).</w:t>
      </w:r>
    </w:p>
    <w:p w14:paraId="6D022FB9" w14:textId="77777777" w:rsidR="00C22765" w:rsidRPr="006979DA" w:rsidRDefault="00C22765"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Background</w:t>
      </w:r>
      <w:bookmarkEnd w:id="7"/>
      <w:bookmarkEnd w:id="8"/>
    </w:p>
    <w:p w14:paraId="220153CC" w14:textId="07074A92" w:rsidR="001D73D2" w:rsidRPr="006979DA" w:rsidRDefault="001D73D2" w:rsidP="00B63BBA">
      <w:pPr>
        <w:spacing w:line="240" w:lineRule="auto"/>
        <w:rPr>
          <w:rFonts w:ascii="Times New Roman" w:eastAsiaTheme="minorEastAsia" w:hAnsi="Times New Roman" w:cs="Times New Roman"/>
          <w:sz w:val="24"/>
          <w:szCs w:val="24"/>
        </w:rPr>
      </w:pPr>
      <w:r w:rsidRPr="006979DA">
        <w:rPr>
          <w:rFonts w:ascii="Times New Roman" w:eastAsiaTheme="minorEastAsia" w:hAnsi="Times New Roman" w:cs="Times New Roman"/>
          <w:sz w:val="24"/>
          <w:szCs w:val="24"/>
        </w:rPr>
        <w:t>A chemical emergency occurs when a hazardous material (HAZMAT) has been released</w:t>
      </w:r>
      <w:r w:rsidR="00B920F9">
        <w:rPr>
          <w:rFonts w:ascii="Times New Roman" w:eastAsiaTheme="minorEastAsia" w:hAnsi="Times New Roman" w:cs="Times New Roman"/>
          <w:sz w:val="24"/>
          <w:szCs w:val="24"/>
        </w:rPr>
        <w:t>,</w:t>
      </w:r>
      <w:r w:rsidRPr="006979DA">
        <w:rPr>
          <w:rFonts w:ascii="Times New Roman" w:eastAsiaTheme="minorEastAsia" w:hAnsi="Times New Roman" w:cs="Times New Roman"/>
          <w:sz w:val="24"/>
          <w:szCs w:val="24"/>
        </w:rPr>
        <w:t xml:space="preserve"> and the release has the potential for harming people’s health. HAZMATs include substances </w:t>
      </w:r>
      <w:r w:rsidR="00B920F9">
        <w:rPr>
          <w:rFonts w:ascii="Times New Roman" w:eastAsiaTheme="minorEastAsia" w:hAnsi="Times New Roman" w:cs="Times New Roman"/>
          <w:sz w:val="24"/>
          <w:szCs w:val="24"/>
        </w:rPr>
        <w:t xml:space="preserve">such </w:t>
      </w:r>
      <w:r w:rsidRPr="006979DA">
        <w:rPr>
          <w:rFonts w:ascii="Times New Roman" w:eastAsiaTheme="minorEastAsia" w:hAnsi="Times New Roman" w:cs="Times New Roman"/>
          <w:sz w:val="24"/>
          <w:szCs w:val="24"/>
        </w:rPr>
        <w:t>as toxic chemicals, fuels, nuclear waste products, and biological, chemical, and radiological agents. HAZMATs may be released as liquids, solids, gases, or a combination or form of all three, including dust, fumes, gas, vapor, mist, and smoke.</w:t>
      </w:r>
    </w:p>
    <w:p w14:paraId="33FFE960" w14:textId="17764FCF" w:rsidR="00C22765" w:rsidRPr="006979DA" w:rsidRDefault="00C22765" w:rsidP="00B63BBA">
      <w:pPr>
        <w:pStyle w:val="Heading2"/>
        <w:spacing w:line="240" w:lineRule="auto"/>
        <w:rPr>
          <w:rFonts w:ascii="Times New Roman" w:hAnsi="Times New Roman" w:cs="Times New Roman"/>
          <w:b/>
          <w:bCs/>
          <w:color w:val="auto"/>
        </w:rPr>
      </w:pPr>
      <w:bookmarkStart w:id="9" w:name="_Toc88225706"/>
      <w:bookmarkStart w:id="10" w:name="_Toc94006731"/>
      <w:r w:rsidRPr="006979DA">
        <w:rPr>
          <w:rFonts w:ascii="Times New Roman" w:hAnsi="Times New Roman" w:cs="Times New Roman"/>
          <w:b/>
          <w:bCs/>
          <w:color w:val="auto"/>
        </w:rPr>
        <w:t xml:space="preserve">Planning </w:t>
      </w:r>
      <w:r w:rsidR="006F5272">
        <w:rPr>
          <w:rFonts w:ascii="Times New Roman" w:hAnsi="Times New Roman" w:cs="Times New Roman"/>
          <w:b/>
          <w:bCs/>
          <w:color w:val="auto"/>
        </w:rPr>
        <w:t>a</w:t>
      </w:r>
      <w:r w:rsidRPr="006979DA">
        <w:rPr>
          <w:rFonts w:ascii="Times New Roman" w:hAnsi="Times New Roman" w:cs="Times New Roman"/>
          <w:b/>
          <w:bCs/>
          <w:color w:val="auto"/>
        </w:rPr>
        <w:t>ssumptions</w:t>
      </w:r>
      <w:bookmarkEnd w:id="9"/>
      <w:bookmarkEnd w:id="10"/>
    </w:p>
    <w:p w14:paraId="09E6ABC0" w14:textId="0A4F3A97"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Each facility or health</w:t>
      </w:r>
      <w:r w:rsidR="00E41978">
        <w:rPr>
          <w:rFonts w:ascii="Times New Roman" w:hAnsi="Times New Roman" w:cs="Times New Roman"/>
          <w:sz w:val="24"/>
          <w:szCs w:val="24"/>
          <w:highlight w:val="yellow"/>
        </w:rPr>
        <w:t xml:space="preserve"> </w:t>
      </w:r>
      <w:r w:rsidRPr="00E41978">
        <w:rPr>
          <w:rFonts w:ascii="Times New Roman" w:hAnsi="Times New Roman" w:cs="Times New Roman"/>
          <w:sz w:val="24"/>
          <w:szCs w:val="24"/>
          <w:highlight w:val="yellow"/>
        </w:rPr>
        <w:t>care organization should understand expectations specific to them as part of the coalition, especially within the first minutes and hours of a large-scale chemical incident.</w:t>
      </w:r>
    </w:p>
    <w:p w14:paraId="71578DBC" w14:textId="012094F8"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Hospitals may need to shelter in pla</w:t>
      </w:r>
      <w:r w:rsidR="004720C7">
        <w:rPr>
          <w:rFonts w:ascii="Times New Roman" w:hAnsi="Times New Roman" w:cs="Times New Roman"/>
          <w:sz w:val="24"/>
          <w:szCs w:val="24"/>
          <w:highlight w:val="yellow"/>
        </w:rPr>
        <w:t>ce</w:t>
      </w:r>
      <w:r w:rsidRPr="00E41978">
        <w:rPr>
          <w:rFonts w:ascii="Times New Roman" w:hAnsi="Times New Roman" w:cs="Times New Roman"/>
          <w:sz w:val="24"/>
          <w:szCs w:val="24"/>
          <w:highlight w:val="yellow"/>
        </w:rPr>
        <w:t xml:space="preserve"> (or, less likely, evacuate) in response to a chemical release or plume</w:t>
      </w:r>
      <w:r w:rsidR="00E41978">
        <w:rPr>
          <w:rFonts w:ascii="Times New Roman" w:hAnsi="Times New Roman" w:cs="Times New Roman"/>
          <w:sz w:val="24"/>
          <w:szCs w:val="24"/>
          <w:highlight w:val="yellow"/>
        </w:rPr>
        <w:t>.</w:t>
      </w:r>
    </w:p>
    <w:p w14:paraId="46E54CD9" w14:textId="59FF9342"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There should be an understanding of the general expectations for EMS and fire</w:t>
      </w:r>
      <w:r w:rsidR="00F91E7D">
        <w:rPr>
          <w:rFonts w:ascii="Times New Roman" w:hAnsi="Times New Roman" w:cs="Times New Roman"/>
          <w:sz w:val="24"/>
          <w:szCs w:val="24"/>
          <w:highlight w:val="yellow"/>
        </w:rPr>
        <w:t xml:space="preserve"> and </w:t>
      </w:r>
      <w:r w:rsidRPr="00E41978">
        <w:rPr>
          <w:rFonts w:ascii="Times New Roman" w:hAnsi="Times New Roman" w:cs="Times New Roman"/>
          <w:sz w:val="24"/>
          <w:szCs w:val="24"/>
          <w:highlight w:val="yellow"/>
        </w:rPr>
        <w:t>rescue personnel during a chemical incident response that is appropriate to regional resources</w:t>
      </w:r>
      <w:r w:rsidR="00E41978">
        <w:rPr>
          <w:rFonts w:ascii="Times New Roman" w:hAnsi="Times New Roman" w:cs="Times New Roman"/>
          <w:sz w:val="24"/>
          <w:szCs w:val="24"/>
          <w:highlight w:val="yellow"/>
        </w:rPr>
        <w:t>.</w:t>
      </w:r>
    </w:p>
    <w:p w14:paraId="65C1FBDE" w14:textId="77777777"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Hospitals must have appropriate plans, PPE, and equipment to receive and decontaminate patients as self-referral is common.</w:t>
      </w:r>
    </w:p>
    <w:p w14:paraId="5DE86816" w14:textId="77777777"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 xml:space="preserve">On-duty staff will need to quickly evaluate </w:t>
      </w:r>
      <w:proofErr w:type="gramStart"/>
      <w:r w:rsidRPr="00E41978">
        <w:rPr>
          <w:rFonts w:ascii="Times New Roman" w:hAnsi="Times New Roman" w:cs="Times New Roman"/>
          <w:sz w:val="24"/>
          <w:szCs w:val="24"/>
          <w:highlight w:val="yellow"/>
        </w:rPr>
        <w:t>a large number of</w:t>
      </w:r>
      <w:proofErr w:type="gramEnd"/>
      <w:r w:rsidRPr="00E41978">
        <w:rPr>
          <w:rFonts w:ascii="Times New Roman" w:hAnsi="Times New Roman" w:cs="Times New Roman"/>
          <w:sz w:val="24"/>
          <w:szCs w:val="24"/>
          <w:highlight w:val="yellow"/>
        </w:rPr>
        <w:t xml:space="preserve"> real versus possible exposures.</w:t>
      </w:r>
    </w:p>
    <w:p w14:paraId="37EDF82C" w14:textId="50A6A9CA"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Job aids will be needed to help initiate response, decontamination, and treatment guidance for these uncommon events</w:t>
      </w:r>
      <w:r w:rsidR="00E41978">
        <w:rPr>
          <w:rFonts w:ascii="Times New Roman" w:hAnsi="Times New Roman" w:cs="Times New Roman"/>
          <w:sz w:val="24"/>
          <w:szCs w:val="24"/>
          <w:highlight w:val="yellow"/>
        </w:rPr>
        <w:t>.</w:t>
      </w:r>
    </w:p>
    <w:p w14:paraId="3F568434" w14:textId="3CC1286A"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Specialty consultation (</w:t>
      </w:r>
      <w:r w:rsidR="00F91E7D">
        <w:rPr>
          <w:rFonts w:ascii="Times New Roman" w:hAnsi="Times New Roman" w:cs="Times New Roman"/>
          <w:sz w:val="24"/>
          <w:szCs w:val="24"/>
          <w:highlight w:val="yellow"/>
        </w:rPr>
        <w:t>for example</w:t>
      </w:r>
      <w:r w:rsidRPr="00E41978">
        <w:rPr>
          <w:rFonts w:ascii="Times New Roman" w:hAnsi="Times New Roman" w:cs="Times New Roman"/>
          <w:sz w:val="24"/>
          <w:szCs w:val="24"/>
          <w:highlight w:val="yellow"/>
        </w:rPr>
        <w:t>, poison control center, regional HAZMAT experts) will be needed quickly to provide specific care recommendations for agent type and magnitude of release</w:t>
      </w:r>
      <w:r w:rsidR="00E41978">
        <w:rPr>
          <w:rFonts w:ascii="Times New Roman" w:hAnsi="Times New Roman" w:cs="Times New Roman"/>
          <w:sz w:val="24"/>
          <w:szCs w:val="24"/>
          <w:highlight w:val="yellow"/>
        </w:rPr>
        <w:t>.</w:t>
      </w:r>
    </w:p>
    <w:p w14:paraId="751A9F05" w14:textId="77777777"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Depending on the scale of the chemical incident, establishment of alternate decontamination or screening locations may be required to assess low-risk patients and provide basic decontamination needs.</w:t>
      </w:r>
    </w:p>
    <w:p w14:paraId="195384BF" w14:textId="58380B01"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There may not be an adequate local supply of specific countermeasures and antidotes for a large-scale chemical emergency</w:t>
      </w:r>
      <w:r w:rsidR="00E41978">
        <w:rPr>
          <w:rFonts w:ascii="Times New Roman" w:hAnsi="Times New Roman" w:cs="Times New Roman"/>
          <w:sz w:val="24"/>
          <w:szCs w:val="24"/>
          <w:highlight w:val="yellow"/>
        </w:rPr>
        <w:t>.</w:t>
      </w:r>
    </w:p>
    <w:p w14:paraId="341845AA" w14:textId="77777777"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lastRenderedPageBreak/>
        <w:t xml:space="preserve">Health concerns, prolonged response requirements, fatigue, difficult work environments, and stress may contribute to behavioral health challenges among coalition members and the </w:t>
      </w:r>
      <w:proofErr w:type="gramStart"/>
      <w:r w:rsidRPr="00E41978">
        <w:rPr>
          <w:rFonts w:ascii="Times New Roman" w:hAnsi="Times New Roman" w:cs="Times New Roman"/>
          <w:sz w:val="24"/>
          <w:szCs w:val="24"/>
          <w:highlight w:val="yellow"/>
        </w:rPr>
        <w:t>general public</w:t>
      </w:r>
      <w:proofErr w:type="gramEnd"/>
      <w:r w:rsidRPr="00E41978">
        <w:rPr>
          <w:rFonts w:ascii="Times New Roman" w:hAnsi="Times New Roman" w:cs="Times New Roman"/>
          <w:sz w:val="24"/>
          <w:szCs w:val="24"/>
          <w:highlight w:val="yellow"/>
        </w:rPr>
        <w:t>.</w:t>
      </w:r>
    </w:p>
    <w:p w14:paraId="22356007" w14:textId="6BB251F2" w:rsidR="002550BC" w:rsidRPr="00E41978" w:rsidRDefault="002550BC" w:rsidP="00B63BBA">
      <w:pPr>
        <w:pStyle w:val="ListParagraph"/>
        <w:numPr>
          <w:ilvl w:val="0"/>
          <w:numId w:val="33"/>
        </w:numPr>
        <w:spacing w:after="160" w:line="240" w:lineRule="auto"/>
        <w:rPr>
          <w:rFonts w:ascii="Times New Roman" w:hAnsi="Times New Roman" w:cs="Times New Roman"/>
          <w:sz w:val="24"/>
          <w:szCs w:val="24"/>
          <w:highlight w:val="yellow"/>
        </w:rPr>
      </w:pPr>
      <w:r w:rsidRPr="00E41978">
        <w:rPr>
          <w:rFonts w:ascii="Times New Roman" w:hAnsi="Times New Roman" w:cs="Times New Roman"/>
          <w:sz w:val="24"/>
          <w:szCs w:val="24"/>
          <w:highlight w:val="yellow"/>
        </w:rPr>
        <w:t>Depending on the scale, severity, and type of chemical emergency, it may be necessary t</w:t>
      </w:r>
      <w:r w:rsidR="00E41978">
        <w:rPr>
          <w:rFonts w:ascii="Times New Roman" w:hAnsi="Times New Roman" w:cs="Times New Roman"/>
          <w:sz w:val="24"/>
          <w:szCs w:val="24"/>
          <w:highlight w:val="yellow"/>
        </w:rPr>
        <w:t>o</w:t>
      </w:r>
      <w:r w:rsidRPr="00E41978">
        <w:rPr>
          <w:rFonts w:ascii="Times New Roman" w:hAnsi="Times New Roman" w:cs="Times New Roman"/>
          <w:sz w:val="24"/>
          <w:szCs w:val="24"/>
          <w:highlight w:val="yellow"/>
        </w:rPr>
        <w:t xml:space="preserve"> contract private organizations </w:t>
      </w:r>
      <w:r w:rsidR="00E41978">
        <w:rPr>
          <w:rFonts w:ascii="Times New Roman" w:hAnsi="Times New Roman" w:cs="Times New Roman"/>
          <w:sz w:val="24"/>
          <w:szCs w:val="24"/>
          <w:highlight w:val="yellow"/>
        </w:rPr>
        <w:t>t</w:t>
      </w:r>
      <w:r w:rsidRPr="00E41978">
        <w:rPr>
          <w:rFonts w:ascii="Times New Roman" w:hAnsi="Times New Roman" w:cs="Times New Roman"/>
          <w:sz w:val="24"/>
          <w:szCs w:val="24"/>
          <w:highlight w:val="yellow"/>
        </w:rPr>
        <w:t>o assist with large-scale containment and clean-up efforts</w:t>
      </w:r>
      <w:r w:rsidR="00E41978">
        <w:rPr>
          <w:rFonts w:ascii="Times New Roman" w:hAnsi="Times New Roman" w:cs="Times New Roman"/>
          <w:sz w:val="24"/>
          <w:szCs w:val="24"/>
          <w:highlight w:val="yellow"/>
        </w:rPr>
        <w:t>.</w:t>
      </w:r>
    </w:p>
    <w:p w14:paraId="6E7415CB" w14:textId="77777777" w:rsidR="00C22765" w:rsidRPr="006979DA" w:rsidRDefault="00C22765" w:rsidP="00B63BBA">
      <w:pPr>
        <w:pStyle w:val="Heading1"/>
        <w:pBdr>
          <w:bottom w:val="single" w:sz="4" w:space="1" w:color="auto"/>
        </w:pBdr>
        <w:spacing w:line="240" w:lineRule="auto"/>
        <w:rPr>
          <w:rFonts w:ascii="Times New Roman" w:hAnsi="Times New Roman" w:cs="Times New Roman"/>
          <w:b/>
          <w:bCs/>
          <w:color w:val="auto"/>
        </w:rPr>
      </w:pPr>
      <w:bookmarkStart w:id="11" w:name="_Toc88225707"/>
      <w:bookmarkStart w:id="12" w:name="_Toc94006732"/>
      <w:r w:rsidRPr="006979DA">
        <w:rPr>
          <w:rFonts w:ascii="Times New Roman" w:hAnsi="Times New Roman" w:cs="Times New Roman"/>
          <w:b/>
          <w:bCs/>
          <w:color w:val="auto"/>
        </w:rPr>
        <w:t>Concept of Operations</w:t>
      </w:r>
      <w:bookmarkEnd w:id="11"/>
      <w:bookmarkEnd w:id="12"/>
    </w:p>
    <w:p w14:paraId="2AAAC188" w14:textId="6C70A4F7" w:rsidR="006979DA" w:rsidRPr="00360557" w:rsidRDefault="006979DA" w:rsidP="00B63BBA">
      <w:pPr>
        <w:pStyle w:val="Heading2"/>
        <w:spacing w:line="240" w:lineRule="auto"/>
        <w:rPr>
          <w:rFonts w:ascii="Times New Roman" w:hAnsi="Times New Roman" w:cs="Times New Roman"/>
          <w:b/>
          <w:bCs/>
          <w:color w:val="auto"/>
        </w:rPr>
      </w:pPr>
      <w:bookmarkStart w:id="13" w:name="_Toc116373904"/>
      <w:r w:rsidRPr="00360557">
        <w:rPr>
          <w:rFonts w:ascii="Times New Roman" w:hAnsi="Times New Roman" w:cs="Times New Roman"/>
          <w:b/>
          <w:bCs/>
          <w:color w:val="auto"/>
        </w:rPr>
        <w:t xml:space="preserve">Management of the </w:t>
      </w:r>
      <w:r>
        <w:rPr>
          <w:rFonts w:ascii="Times New Roman" w:hAnsi="Times New Roman" w:cs="Times New Roman"/>
          <w:b/>
          <w:bCs/>
          <w:color w:val="auto"/>
        </w:rPr>
        <w:t>chemical surge</w:t>
      </w:r>
      <w:r w:rsidRPr="00360557">
        <w:rPr>
          <w:rFonts w:ascii="Times New Roman" w:hAnsi="Times New Roman" w:cs="Times New Roman"/>
          <w:b/>
          <w:bCs/>
          <w:color w:val="auto"/>
        </w:rPr>
        <w:t xml:space="preserve"> incident by </w:t>
      </w:r>
      <w:r w:rsidR="00E41978">
        <w:rPr>
          <w:rFonts w:ascii="Times New Roman" w:hAnsi="Times New Roman" w:cs="Times New Roman"/>
          <w:b/>
          <w:bCs/>
          <w:color w:val="auto"/>
        </w:rPr>
        <w:t>emergency medical services (</w:t>
      </w:r>
      <w:r w:rsidRPr="00360557">
        <w:rPr>
          <w:rFonts w:ascii="Times New Roman" w:hAnsi="Times New Roman" w:cs="Times New Roman"/>
          <w:b/>
          <w:bCs/>
          <w:color w:val="auto"/>
        </w:rPr>
        <w:t>EMS</w:t>
      </w:r>
      <w:r w:rsidR="00E41978">
        <w:rPr>
          <w:rFonts w:ascii="Times New Roman" w:hAnsi="Times New Roman" w:cs="Times New Roman"/>
          <w:b/>
          <w:bCs/>
          <w:color w:val="auto"/>
        </w:rPr>
        <w:t>)</w:t>
      </w:r>
      <w:r w:rsidRPr="00360557">
        <w:rPr>
          <w:rFonts w:ascii="Times New Roman" w:hAnsi="Times New Roman" w:cs="Times New Roman"/>
          <w:b/>
          <w:bCs/>
          <w:color w:val="auto"/>
        </w:rPr>
        <w:t xml:space="preserve"> and the local hospital</w:t>
      </w:r>
      <w:bookmarkEnd w:id="13"/>
      <w:r w:rsidRPr="00360557">
        <w:rPr>
          <w:rFonts w:ascii="Times New Roman" w:hAnsi="Times New Roman" w:cs="Times New Roman"/>
          <w:b/>
          <w:bCs/>
          <w:color w:val="auto"/>
        </w:rPr>
        <w:t xml:space="preserve"> </w:t>
      </w:r>
    </w:p>
    <w:p w14:paraId="6E581DAB" w14:textId="1177B3FD" w:rsidR="001D73D2" w:rsidRPr="006979DA" w:rsidRDefault="001D73D2" w:rsidP="00B63BBA">
      <w:pPr>
        <w:spacing w:after="0" w:line="240" w:lineRule="auto"/>
        <w:rPr>
          <w:rFonts w:ascii="Times New Roman" w:hAnsi="Times New Roman" w:cs="Times New Roman"/>
          <w:sz w:val="24"/>
          <w:szCs w:val="24"/>
        </w:rPr>
      </w:pPr>
      <w:r w:rsidRPr="006979DA">
        <w:rPr>
          <w:rFonts w:ascii="Times New Roman" w:hAnsi="Times New Roman" w:cs="Times New Roman"/>
          <w:sz w:val="24"/>
          <w:szCs w:val="24"/>
        </w:rPr>
        <w:t>A chemical HAZMAT event may occur from any of the incident</w:t>
      </w:r>
      <w:r w:rsidR="007F5A93">
        <w:rPr>
          <w:rFonts w:ascii="Times New Roman" w:hAnsi="Times New Roman" w:cs="Times New Roman"/>
          <w:sz w:val="24"/>
          <w:szCs w:val="24"/>
        </w:rPr>
        <w:t>s</w:t>
      </w:r>
      <w:r w:rsidRPr="006979DA">
        <w:rPr>
          <w:rFonts w:ascii="Times New Roman" w:hAnsi="Times New Roman" w:cs="Times New Roman"/>
          <w:sz w:val="24"/>
          <w:szCs w:val="24"/>
        </w:rPr>
        <w:t xml:space="preserve"> listed in the background section of this plan, however, not all chemical HAZMAT incidents may cause a medical surge. Prior to activation of surge activities, the following occurs:</w:t>
      </w:r>
    </w:p>
    <w:p w14:paraId="45771A43" w14:textId="77777777" w:rsidR="001D73D2" w:rsidRPr="006979DA" w:rsidRDefault="001D73D2" w:rsidP="00B63BBA">
      <w:pPr>
        <w:pStyle w:val="ListParagraph"/>
        <w:numPr>
          <w:ilvl w:val="0"/>
          <w:numId w:val="32"/>
        </w:numPr>
        <w:spacing w:after="0" w:line="240" w:lineRule="auto"/>
        <w:rPr>
          <w:rFonts w:ascii="Times New Roman" w:hAnsi="Times New Roman" w:cs="Times New Roman"/>
          <w:sz w:val="24"/>
          <w:szCs w:val="24"/>
        </w:rPr>
      </w:pPr>
      <w:r w:rsidRPr="006979DA">
        <w:rPr>
          <w:rFonts w:ascii="Times New Roman" w:hAnsi="Times New Roman" w:cs="Times New Roman"/>
          <w:sz w:val="24"/>
          <w:szCs w:val="24"/>
        </w:rPr>
        <w:t xml:space="preserve">Patients may present to medical facilities by EMS services or as walk-in to a facility. Patients may seek out medical care for illness or exposure due to a chemical HAZMAT event, injury due to a chemical HAZMAT event, or illness or injury not related to a chemical HAZMAT event. </w:t>
      </w:r>
    </w:p>
    <w:p w14:paraId="053760F9" w14:textId="7FE1106B" w:rsidR="001D73D2" w:rsidRPr="006979DA" w:rsidRDefault="007F5A93" w:rsidP="00B63BBA">
      <w:pPr>
        <w:pStyle w:val="ListParagraph"/>
        <w:spacing w:after="0" w:line="240" w:lineRule="auto"/>
        <w:ind w:left="1440"/>
        <w:rPr>
          <w:rFonts w:ascii="Times New Roman" w:hAnsi="Times New Roman" w:cs="Times New Roman"/>
          <w:sz w:val="24"/>
          <w:szCs w:val="24"/>
        </w:rPr>
      </w:pPr>
      <w:r w:rsidRPr="007F5A93">
        <w:rPr>
          <w:rFonts w:ascii="Times New Roman" w:hAnsi="Times New Roman" w:cs="Times New Roman"/>
          <w:b/>
          <w:bCs/>
          <w:sz w:val="24"/>
          <w:szCs w:val="24"/>
        </w:rPr>
        <w:t>Note:</w:t>
      </w:r>
      <w:r>
        <w:rPr>
          <w:rFonts w:ascii="Times New Roman" w:hAnsi="Times New Roman" w:cs="Times New Roman"/>
          <w:sz w:val="24"/>
          <w:szCs w:val="24"/>
        </w:rPr>
        <w:t xml:space="preserve"> </w:t>
      </w:r>
      <w:r w:rsidR="001D73D2" w:rsidRPr="006979DA">
        <w:rPr>
          <w:rFonts w:ascii="Times New Roman" w:hAnsi="Times New Roman" w:cs="Times New Roman"/>
          <w:sz w:val="24"/>
          <w:szCs w:val="24"/>
        </w:rPr>
        <w:t>EMS performs decontamination, triage, and stabilization care of patients following normal trauma guidelines and determines the transportation destination of patients based on the chief complaint and local hospital capabilities. EMS</w:t>
      </w:r>
      <w:r w:rsidR="000576D1">
        <w:rPr>
          <w:rFonts w:ascii="Times New Roman" w:hAnsi="Times New Roman" w:cs="Times New Roman"/>
          <w:sz w:val="24"/>
          <w:szCs w:val="24"/>
        </w:rPr>
        <w:t>,</w:t>
      </w:r>
      <w:r w:rsidR="001D73D2" w:rsidRPr="006979DA">
        <w:rPr>
          <w:rFonts w:ascii="Times New Roman" w:hAnsi="Times New Roman" w:cs="Times New Roman"/>
          <w:sz w:val="24"/>
          <w:szCs w:val="24"/>
        </w:rPr>
        <w:t xml:space="preserve"> or incident command on behalf of EMS</w:t>
      </w:r>
      <w:r w:rsidR="000576D1">
        <w:rPr>
          <w:rFonts w:ascii="Times New Roman" w:hAnsi="Times New Roman" w:cs="Times New Roman"/>
          <w:sz w:val="24"/>
          <w:szCs w:val="24"/>
        </w:rPr>
        <w:t>,</w:t>
      </w:r>
      <w:r w:rsidR="001D73D2" w:rsidRPr="006979DA">
        <w:rPr>
          <w:rFonts w:ascii="Times New Roman" w:hAnsi="Times New Roman" w:cs="Times New Roman"/>
          <w:sz w:val="24"/>
          <w:szCs w:val="24"/>
        </w:rPr>
        <w:t xml:space="preserve"> may contact the Chemical Emergencies and Natural Disasters On</w:t>
      </w:r>
      <w:r>
        <w:rPr>
          <w:rFonts w:ascii="Times New Roman" w:hAnsi="Times New Roman" w:cs="Times New Roman"/>
          <w:sz w:val="24"/>
          <w:szCs w:val="24"/>
        </w:rPr>
        <w:t>-</w:t>
      </w:r>
      <w:r w:rsidR="001D73D2" w:rsidRPr="006979DA">
        <w:rPr>
          <w:rFonts w:ascii="Times New Roman" w:hAnsi="Times New Roman" w:cs="Times New Roman"/>
          <w:sz w:val="24"/>
          <w:szCs w:val="24"/>
        </w:rPr>
        <w:t xml:space="preserve">Call Team, HERC, or </w:t>
      </w:r>
      <w:r>
        <w:rPr>
          <w:rFonts w:ascii="Times New Roman" w:hAnsi="Times New Roman" w:cs="Times New Roman"/>
          <w:sz w:val="24"/>
          <w:szCs w:val="24"/>
        </w:rPr>
        <w:t>local and Tribal health department (</w:t>
      </w:r>
      <w:r w:rsidR="001D73D2" w:rsidRPr="006979DA">
        <w:rPr>
          <w:rFonts w:ascii="Times New Roman" w:hAnsi="Times New Roman" w:cs="Times New Roman"/>
          <w:sz w:val="24"/>
          <w:szCs w:val="24"/>
        </w:rPr>
        <w:t>LTHD</w:t>
      </w:r>
      <w:r>
        <w:rPr>
          <w:rFonts w:ascii="Times New Roman" w:hAnsi="Times New Roman" w:cs="Times New Roman"/>
          <w:sz w:val="24"/>
          <w:szCs w:val="24"/>
        </w:rPr>
        <w:t>)</w:t>
      </w:r>
      <w:r w:rsidR="001D73D2" w:rsidRPr="006979DA">
        <w:rPr>
          <w:rFonts w:ascii="Times New Roman" w:hAnsi="Times New Roman" w:cs="Times New Roman"/>
          <w:sz w:val="24"/>
          <w:szCs w:val="24"/>
        </w:rPr>
        <w:t xml:space="preserve"> if there are concerns of radiation exposure.</w:t>
      </w:r>
    </w:p>
    <w:p w14:paraId="388FE1C3" w14:textId="34E60811" w:rsidR="001D73D2" w:rsidRPr="006979DA" w:rsidRDefault="001D73D2" w:rsidP="00B63BBA">
      <w:pPr>
        <w:pStyle w:val="ListParagraph"/>
        <w:numPr>
          <w:ilvl w:val="0"/>
          <w:numId w:val="32"/>
        </w:numPr>
        <w:spacing w:after="0" w:line="240" w:lineRule="auto"/>
        <w:rPr>
          <w:rFonts w:ascii="Times New Roman" w:hAnsi="Times New Roman" w:cs="Times New Roman"/>
          <w:sz w:val="24"/>
          <w:szCs w:val="24"/>
        </w:rPr>
      </w:pPr>
      <w:r w:rsidRPr="006979DA">
        <w:rPr>
          <w:rFonts w:ascii="Times New Roman" w:hAnsi="Times New Roman" w:cs="Times New Roman"/>
          <w:sz w:val="24"/>
          <w:szCs w:val="24"/>
        </w:rPr>
        <w:t>The local hospital performs decontamination, triage, testing, and stabilization of walk-in and EMS transported patients and determine if there is concern for chemical HAZMAT contamination. Hospitals contact Chemical Emergencies and Natural Disasters On</w:t>
      </w:r>
      <w:r w:rsidR="007F5A93">
        <w:rPr>
          <w:rFonts w:ascii="Times New Roman" w:hAnsi="Times New Roman" w:cs="Times New Roman"/>
          <w:sz w:val="24"/>
          <w:szCs w:val="24"/>
        </w:rPr>
        <w:t>-</w:t>
      </w:r>
      <w:r w:rsidRPr="006979DA">
        <w:rPr>
          <w:rFonts w:ascii="Times New Roman" w:hAnsi="Times New Roman" w:cs="Times New Roman"/>
          <w:sz w:val="24"/>
          <w:szCs w:val="24"/>
        </w:rPr>
        <w:t xml:space="preserve">Call Team, HERC, or the LTHD for situational awareness and subject matter expert support. </w:t>
      </w:r>
    </w:p>
    <w:p w14:paraId="02D4BD40" w14:textId="07C1B897" w:rsidR="001D73D2" w:rsidRPr="006979DA" w:rsidRDefault="001D73D2" w:rsidP="00B63BBA">
      <w:pPr>
        <w:pStyle w:val="ListParagraph"/>
        <w:numPr>
          <w:ilvl w:val="0"/>
          <w:numId w:val="32"/>
        </w:numPr>
        <w:spacing w:after="0" w:line="240" w:lineRule="auto"/>
        <w:rPr>
          <w:rFonts w:ascii="Times New Roman" w:hAnsi="Times New Roman" w:cs="Times New Roman"/>
          <w:sz w:val="24"/>
          <w:szCs w:val="24"/>
        </w:rPr>
      </w:pPr>
      <w:r w:rsidRPr="006979DA">
        <w:rPr>
          <w:rFonts w:ascii="Times New Roman" w:hAnsi="Times New Roman" w:cs="Times New Roman"/>
          <w:sz w:val="24"/>
          <w:szCs w:val="24"/>
        </w:rPr>
        <w:t>Chemical Emergencies and Natural Disasters On</w:t>
      </w:r>
      <w:r w:rsidR="007F5A93">
        <w:rPr>
          <w:rFonts w:ascii="Times New Roman" w:hAnsi="Times New Roman" w:cs="Times New Roman"/>
          <w:sz w:val="24"/>
          <w:szCs w:val="24"/>
        </w:rPr>
        <w:t>-</w:t>
      </w:r>
      <w:r w:rsidRPr="006979DA">
        <w:rPr>
          <w:rFonts w:ascii="Times New Roman" w:hAnsi="Times New Roman" w:cs="Times New Roman"/>
          <w:sz w:val="24"/>
          <w:szCs w:val="24"/>
        </w:rPr>
        <w:t>Call Team, HERC, or LTHD receives a report of a chemical HAZMAT event and conduct normal operations including</w:t>
      </w:r>
      <w:r w:rsidR="007F5A93">
        <w:rPr>
          <w:rFonts w:ascii="Times New Roman" w:hAnsi="Times New Roman" w:cs="Times New Roman"/>
          <w:sz w:val="24"/>
          <w:szCs w:val="24"/>
        </w:rPr>
        <w:t xml:space="preserve"> </w:t>
      </w:r>
      <w:r w:rsidRPr="006979DA">
        <w:rPr>
          <w:rFonts w:ascii="Times New Roman" w:hAnsi="Times New Roman" w:cs="Times New Roman"/>
          <w:sz w:val="24"/>
          <w:szCs w:val="24"/>
        </w:rPr>
        <w:t xml:space="preserve">sharing </w:t>
      </w:r>
      <w:r w:rsidR="007F5A93">
        <w:rPr>
          <w:rFonts w:ascii="Times New Roman" w:hAnsi="Times New Roman" w:cs="Times New Roman"/>
          <w:sz w:val="24"/>
          <w:szCs w:val="24"/>
        </w:rPr>
        <w:t xml:space="preserve">information </w:t>
      </w:r>
      <w:r w:rsidRPr="006979DA">
        <w:rPr>
          <w:rFonts w:ascii="Times New Roman" w:hAnsi="Times New Roman" w:cs="Times New Roman"/>
          <w:sz w:val="24"/>
          <w:szCs w:val="24"/>
        </w:rPr>
        <w:t>with relevant partners. The Chemical Emergencies and Natural Disasters On</w:t>
      </w:r>
      <w:r w:rsidR="007F5A93">
        <w:rPr>
          <w:rFonts w:ascii="Times New Roman" w:hAnsi="Times New Roman" w:cs="Times New Roman"/>
          <w:sz w:val="24"/>
          <w:szCs w:val="24"/>
        </w:rPr>
        <w:t>-</w:t>
      </w:r>
      <w:r w:rsidRPr="006979DA">
        <w:rPr>
          <w:rFonts w:ascii="Times New Roman" w:hAnsi="Times New Roman" w:cs="Times New Roman"/>
          <w:sz w:val="24"/>
          <w:szCs w:val="24"/>
        </w:rPr>
        <w:t xml:space="preserve">Call Team may provide subject matter expertise as needed. </w:t>
      </w:r>
    </w:p>
    <w:p w14:paraId="366CF7B3" w14:textId="77777777" w:rsidR="001D73D2" w:rsidRPr="006979DA" w:rsidRDefault="001D73D2" w:rsidP="00B63BBA">
      <w:pPr>
        <w:pStyle w:val="ListParagraph"/>
        <w:numPr>
          <w:ilvl w:val="0"/>
          <w:numId w:val="32"/>
        </w:numPr>
        <w:spacing w:after="0" w:line="240" w:lineRule="auto"/>
        <w:rPr>
          <w:rFonts w:ascii="Times New Roman" w:hAnsi="Times New Roman" w:cs="Times New Roman"/>
          <w:sz w:val="24"/>
          <w:szCs w:val="24"/>
        </w:rPr>
      </w:pPr>
      <w:r w:rsidRPr="006979DA">
        <w:rPr>
          <w:rFonts w:ascii="Times New Roman" w:hAnsi="Times New Roman" w:cs="Times New Roman"/>
          <w:sz w:val="24"/>
          <w:szCs w:val="24"/>
        </w:rPr>
        <w:t>The local hospital determines if they are capable of handling patient needs without causing stress on their resources or if patients can be transferred to a higher level of care following normal transfer procedures. If neither of these scenarios can be met, a surge event is indicated.</w:t>
      </w:r>
    </w:p>
    <w:p w14:paraId="0D675165" w14:textId="3512D079" w:rsidR="001D73D2" w:rsidRPr="006979DA" w:rsidRDefault="007F5A93" w:rsidP="00B63BBA">
      <w:pPr>
        <w:pStyle w:val="ListParagraph"/>
        <w:spacing w:after="0" w:line="240" w:lineRule="auto"/>
        <w:ind w:left="1440"/>
        <w:rPr>
          <w:rFonts w:ascii="Times New Roman" w:hAnsi="Times New Roman" w:cs="Times New Roman"/>
          <w:sz w:val="24"/>
          <w:szCs w:val="24"/>
        </w:rPr>
      </w:pPr>
      <w:r w:rsidRPr="007F5A93">
        <w:rPr>
          <w:rFonts w:ascii="Times New Roman" w:hAnsi="Times New Roman" w:cs="Times New Roman"/>
          <w:b/>
          <w:bCs/>
          <w:sz w:val="24"/>
          <w:szCs w:val="24"/>
        </w:rPr>
        <w:t>Note:</w:t>
      </w:r>
      <w:r>
        <w:rPr>
          <w:rFonts w:ascii="Times New Roman" w:hAnsi="Times New Roman" w:cs="Times New Roman"/>
          <w:sz w:val="24"/>
          <w:szCs w:val="24"/>
        </w:rPr>
        <w:t xml:space="preserve"> </w:t>
      </w:r>
      <w:r w:rsidR="001D73D2" w:rsidRPr="006979DA">
        <w:rPr>
          <w:rFonts w:ascii="Times New Roman" w:hAnsi="Times New Roman" w:cs="Times New Roman"/>
          <w:sz w:val="24"/>
          <w:szCs w:val="24"/>
        </w:rPr>
        <w:t>Request</w:t>
      </w:r>
      <w:r w:rsidR="00C9744B">
        <w:rPr>
          <w:rFonts w:ascii="Times New Roman" w:hAnsi="Times New Roman" w:cs="Times New Roman"/>
          <w:sz w:val="24"/>
          <w:szCs w:val="24"/>
        </w:rPr>
        <w:t>s</w:t>
      </w:r>
      <w:r w:rsidR="001D73D2" w:rsidRPr="006979DA">
        <w:rPr>
          <w:rFonts w:ascii="Times New Roman" w:hAnsi="Times New Roman" w:cs="Times New Roman"/>
          <w:sz w:val="24"/>
          <w:szCs w:val="24"/>
        </w:rPr>
        <w:t xml:space="preserve"> for surge support can be made from hospitals, Chemical Emergencies and Natural Disasters On</w:t>
      </w:r>
      <w:r>
        <w:rPr>
          <w:rFonts w:ascii="Times New Roman" w:hAnsi="Times New Roman" w:cs="Times New Roman"/>
          <w:sz w:val="24"/>
          <w:szCs w:val="24"/>
        </w:rPr>
        <w:t>-</w:t>
      </w:r>
      <w:r w:rsidR="001D73D2" w:rsidRPr="006979DA">
        <w:rPr>
          <w:rFonts w:ascii="Times New Roman" w:hAnsi="Times New Roman" w:cs="Times New Roman"/>
          <w:sz w:val="24"/>
          <w:szCs w:val="24"/>
        </w:rPr>
        <w:t>Call Team, HERCs, or LTHDs. Surge plans may be activated at the local, regional, or state level.</w:t>
      </w:r>
    </w:p>
    <w:p w14:paraId="148780E3" w14:textId="57E1E7E1" w:rsidR="001D73D2" w:rsidRPr="006979DA" w:rsidRDefault="001D73D2" w:rsidP="00B63BBA">
      <w:pPr>
        <w:spacing w:after="0" w:line="240" w:lineRule="auto"/>
        <w:rPr>
          <w:rFonts w:ascii="Times New Roman" w:hAnsi="Times New Roman" w:cs="Times New Roman"/>
          <w:bCs/>
          <w:i/>
          <w:iCs/>
        </w:rPr>
      </w:pPr>
    </w:p>
    <w:p w14:paraId="541793BF" w14:textId="77777777" w:rsidR="006979DA" w:rsidRPr="00360557" w:rsidRDefault="006979DA" w:rsidP="00B63BBA">
      <w:pPr>
        <w:pStyle w:val="Heading2"/>
        <w:spacing w:line="240" w:lineRule="auto"/>
        <w:rPr>
          <w:rFonts w:ascii="Times New Roman" w:hAnsi="Times New Roman" w:cs="Times New Roman"/>
          <w:b/>
          <w:bCs/>
          <w:color w:val="auto"/>
        </w:rPr>
      </w:pPr>
      <w:bookmarkStart w:id="14" w:name="_Toc116373905"/>
      <w:r w:rsidRPr="00360557">
        <w:rPr>
          <w:rFonts w:ascii="Times New Roman" w:hAnsi="Times New Roman" w:cs="Times New Roman"/>
          <w:b/>
          <w:bCs/>
          <w:color w:val="auto"/>
        </w:rPr>
        <w:t>Activation of the regional annex</w:t>
      </w:r>
      <w:bookmarkEnd w:id="14"/>
    </w:p>
    <w:p w14:paraId="278BF19C" w14:textId="35CAC56A" w:rsidR="006979DA" w:rsidRPr="00B85729" w:rsidRDefault="006979DA" w:rsidP="00B63BBA">
      <w:pPr>
        <w:pStyle w:val="ListParagraph"/>
        <w:numPr>
          <w:ilvl w:val="0"/>
          <w:numId w:val="36"/>
        </w:numPr>
        <w:spacing w:after="160" w:line="240" w:lineRule="auto"/>
        <w:rPr>
          <w:rFonts w:ascii="Times New Roman" w:hAnsi="Times New Roman" w:cs="Times New Roman"/>
          <w:sz w:val="24"/>
          <w:szCs w:val="24"/>
        </w:rPr>
      </w:pPr>
      <w:r w:rsidRPr="00B85729">
        <w:rPr>
          <w:rFonts w:ascii="Times New Roman" w:hAnsi="Times New Roman" w:cs="Times New Roman"/>
          <w:b/>
          <w:bCs/>
          <w:sz w:val="24"/>
          <w:szCs w:val="24"/>
        </w:rPr>
        <w:t>When</w:t>
      </w:r>
      <w:r w:rsidRPr="00B85729">
        <w:rPr>
          <w:rFonts w:ascii="Times New Roman" w:hAnsi="Times New Roman" w:cs="Times New Roman"/>
          <w:sz w:val="24"/>
          <w:szCs w:val="24"/>
        </w:rPr>
        <w:t xml:space="preserve"> to activate: The regional HERC </w:t>
      </w:r>
      <w:r>
        <w:rPr>
          <w:rFonts w:ascii="Times New Roman" w:hAnsi="Times New Roman" w:cs="Times New Roman"/>
          <w:sz w:val="24"/>
          <w:szCs w:val="24"/>
        </w:rPr>
        <w:t xml:space="preserve">chemical </w:t>
      </w:r>
      <w:r w:rsidRPr="00B85729">
        <w:rPr>
          <w:rFonts w:ascii="Times New Roman" w:hAnsi="Times New Roman" w:cs="Times New Roman"/>
          <w:sz w:val="24"/>
          <w:szCs w:val="24"/>
        </w:rPr>
        <w:t xml:space="preserve">annex may be activated prior to or in reaction to the activation of the state plan. </w:t>
      </w:r>
    </w:p>
    <w:p w14:paraId="3EC0C4BD" w14:textId="2A5CCF64" w:rsidR="006979DA" w:rsidRDefault="006979DA" w:rsidP="00B63BBA">
      <w:pPr>
        <w:pStyle w:val="ListParagraph"/>
        <w:numPr>
          <w:ilvl w:val="0"/>
          <w:numId w:val="36"/>
        </w:numPr>
        <w:spacing w:line="240" w:lineRule="auto"/>
        <w:rPr>
          <w:rFonts w:ascii="Times New Roman" w:hAnsi="Times New Roman" w:cs="Times New Roman"/>
          <w:sz w:val="24"/>
          <w:szCs w:val="24"/>
        </w:rPr>
      </w:pPr>
      <w:r w:rsidRPr="00B85729">
        <w:rPr>
          <w:rFonts w:ascii="Times New Roman" w:hAnsi="Times New Roman" w:cs="Times New Roman"/>
          <w:b/>
          <w:bCs/>
          <w:sz w:val="24"/>
          <w:szCs w:val="24"/>
        </w:rPr>
        <w:t>Who</w:t>
      </w:r>
      <w:r w:rsidRPr="00B85729">
        <w:rPr>
          <w:rFonts w:ascii="Times New Roman" w:hAnsi="Times New Roman" w:cs="Times New Roman"/>
          <w:sz w:val="24"/>
          <w:szCs w:val="24"/>
        </w:rPr>
        <w:t xml:space="preserve"> determines activation: The activation of this annex is determined by the HERC coordinator</w:t>
      </w:r>
      <w:r w:rsidR="00442D83">
        <w:rPr>
          <w:rFonts w:ascii="Times New Roman" w:hAnsi="Times New Roman" w:cs="Times New Roman"/>
          <w:sz w:val="24"/>
          <w:szCs w:val="24"/>
        </w:rPr>
        <w:t>,</w:t>
      </w:r>
      <w:r w:rsidRPr="00B85729">
        <w:rPr>
          <w:rFonts w:ascii="Times New Roman" w:hAnsi="Times New Roman" w:cs="Times New Roman"/>
          <w:sz w:val="24"/>
          <w:szCs w:val="24"/>
        </w:rPr>
        <w:t xml:space="preserve"> in consultation with HERC leadership and local and state officials</w:t>
      </w:r>
      <w:r w:rsidR="00442D83">
        <w:rPr>
          <w:rFonts w:ascii="Times New Roman" w:hAnsi="Times New Roman" w:cs="Times New Roman"/>
          <w:sz w:val="24"/>
          <w:szCs w:val="24"/>
        </w:rPr>
        <w:t>,</w:t>
      </w:r>
      <w:r w:rsidRPr="00B85729">
        <w:rPr>
          <w:rFonts w:ascii="Times New Roman" w:hAnsi="Times New Roman" w:cs="Times New Roman"/>
          <w:sz w:val="24"/>
          <w:szCs w:val="24"/>
        </w:rPr>
        <w:t xml:space="preserve"> when reviewing the regional capabilities in either the response to a local incident or due to an activation in another region. </w:t>
      </w:r>
    </w:p>
    <w:p w14:paraId="0448630D" w14:textId="3F6CC05F" w:rsidR="006979DA" w:rsidRPr="00360557" w:rsidRDefault="006979DA" w:rsidP="00B63BBA">
      <w:pPr>
        <w:pStyle w:val="Heading2"/>
        <w:spacing w:line="240" w:lineRule="auto"/>
        <w:rPr>
          <w:rFonts w:ascii="Times New Roman" w:hAnsi="Times New Roman" w:cs="Times New Roman"/>
          <w:b/>
          <w:bCs/>
          <w:color w:val="auto"/>
          <w:sz w:val="24"/>
          <w:szCs w:val="24"/>
        </w:rPr>
      </w:pPr>
      <w:r w:rsidRPr="00360557">
        <w:rPr>
          <w:rFonts w:ascii="Times New Roman" w:hAnsi="Times New Roman" w:cs="Times New Roman"/>
          <w:b/>
          <w:bCs/>
          <w:color w:val="auto"/>
          <w:sz w:val="24"/>
          <w:szCs w:val="24"/>
        </w:rPr>
        <w:lastRenderedPageBreak/>
        <w:t xml:space="preserve">HERC </w:t>
      </w:r>
      <w:r w:rsidR="00C60719">
        <w:rPr>
          <w:rFonts w:ascii="Times New Roman" w:hAnsi="Times New Roman" w:cs="Times New Roman"/>
          <w:b/>
          <w:bCs/>
          <w:color w:val="auto"/>
          <w:sz w:val="24"/>
          <w:szCs w:val="24"/>
        </w:rPr>
        <w:t>r</w:t>
      </w:r>
      <w:r w:rsidRPr="00360557">
        <w:rPr>
          <w:rFonts w:ascii="Times New Roman" w:hAnsi="Times New Roman" w:cs="Times New Roman"/>
          <w:b/>
          <w:bCs/>
          <w:color w:val="auto"/>
          <w:sz w:val="24"/>
          <w:szCs w:val="24"/>
        </w:rPr>
        <w:t xml:space="preserve">oles and </w:t>
      </w:r>
      <w:r w:rsidR="00C60719">
        <w:rPr>
          <w:rFonts w:ascii="Times New Roman" w:hAnsi="Times New Roman" w:cs="Times New Roman"/>
          <w:b/>
          <w:bCs/>
          <w:color w:val="auto"/>
          <w:sz w:val="24"/>
          <w:szCs w:val="24"/>
        </w:rPr>
        <w:t>r</w:t>
      </w:r>
      <w:r w:rsidRPr="00360557">
        <w:rPr>
          <w:rFonts w:ascii="Times New Roman" w:hAnsi="Times New Roman" w:cs="Times New Roman"/>
          <w:b/>
          <w:bCs/>
          <w:color w:val="auto"/>
          <w:sz w:val="24"/>
          <w:szCs w:val="24"/>
        </w:rPr>
        <w:t>esponsibilities</w:t>
      </w:r>
    </w:p>
    <w:p w14:paraId="680C9BC6" w14:textId="21DBC9F7" w:rsidR="006979DA" w:rsidRPr="00442D83" w:rsidRDefault="006979DA" w:rsidP="00B63BBA">
      <w:pPr>
        <w:spacing w:after="0" w:line="240" w:lineRule="auto"/>
        <w:rPr>
          <w:rFonts w:ascii="Times New Roman" w:hAnsi="Times New Roman" w:cs="Times New Roman"/>
          <w:sz w:val="24"/>
          <w:szCs w:val="28"/>
        </w:rPr>
      </w:pPr>
      <w:r w:rsidRPr="00442D83">
        <w:rPr>
          <w:rFonts w:ascii="Times New Roman" w:hAnsi="Times New Roman" w:cs="Times New Roman"/>
          <w:sz w:val="24"/>
          <w:szCs w:val="28"/>
        </w:rPr>
        <w:t xml:space="preserve">The HERC coordinators may be notified by emergency response agencies, LTHDs, hospitals, or </w:t>
      </w:r>
      <w:r w:rsidR="00CB3605">
        <w:rPr>
          <w:rFonts w:ascii="Times New Roman" w:hAnsi="Times New Roman" w:cs="Times New Roman"/>
          <w:sz w:val="24"/>
          <w:szCs w:val="28"/>
        </w:rPr>
        <w:t>the Office of Preparedness and Emergency Health Care (</w:t>
      </w:r>
      <w:r w:rsidRPr="00442D83">
        <w:rPr>
          <w:rFonts w:ascii="Times New Roman" w:hAnsi="Times New Roman" w:cs="Times New Roman"/>
          <w:sz w:val="24"/>
          <w:szCs w:val="28"/>
        </w:rPr>
        <w:t>OPEHC</w:t>
      </w:r>
      <w:r w:rsidR="00CB3605">
        <w:rPr>
          <w:rFonts w:ascii="Times New Roman" w:hAnsi="Times New Roman" w:cs="Times New Roman"/>
          <w:sz w:val="24"/>
          <w:szCs w:val="28"/>
        </w:rPr>
        <w:t>)</w:t>
      </w:r>
      <w:r w:rsidRPr="00442D83">
        <w:rPr>
          <w:rFonts w:ascii="Times New Roman" w:hAnsi="Times New Roman" w:cs="Times New Roman"/>
          <w:sz w:val="24"/>
          <w:szCs w:val="28"/>
        </w:rPr>
        <w:t>. When requested, the HERC regions support coordination with local public health, health care institutions, and first responder agencies (police, fire, and EMS) to have a uniform and unified response to an emergency. The HERCs support communities before, during, and after a</w:t>
      </w:r>
      <w:r w:rsidR="004720C7">
        <w:rPr>
          <w:rFonts w:ascii="Times New Roman" w:hAnsi="Times New Roman" w:cs="Times New Roman"/>
          <w:sz w:val="24"/>
          <w:szCs w:val="28"/>
        </w:rPr>
        <w:t xml:space="preserve"> chemical HAZMAT </w:t>
      </w:r>
      <w:r w:rsidRPr="00442D83">
        <w:rPr>
          <w:rFonts w:ascii="Times New Roman" w:hAnsi="Times New Roman" w:cs="Times New Roman"/>
          <w:sz w:val="24"/>
          <w:szCs w:val="28"/>
        </w:rPr>
        <w:t>incident. Roles and responsibilities for the HERCs include, but are not limited to:</w:t>
      </w:r>
    </w:p>
    <w:p w14:paraId="46C0E1A8" w14:textId="77777777" w:rsidR="006979DA" w:rsidRPr="00442D83" w:rsidRDefault="006979DA" w:rsidP="00B63BBA">
      <w:pPr>
        <w:pStyle w:val="ListParagraph"/>
        <w:numPr>
          <w:ilvl w:val="0"/>
          <w:numId w:val="36"/>
        </w:numPr>
        <w:spacing w:after="160" w:line="240" w:lineRule="auto"/>
        <w:rPr>
          <w:rFonts w:ascii="Times New Roman" w:hAnsi="Times New Roman" w:cs="Times New Roman"/>
          <w:sz w:val="24"/>
          <w:szCs w:val="24"/>
        </w:rPr>
      </w:pPr>
      <w:r w:rsidRPr="00442D83">
        <w:rPr>
          <w:rFonts w:ascii="Times New Roman" w:hAnsi="Times New Roman" w:cs="Times New Roman"/>
          <w:sz w:val="24"/>
          <w:szCs w:val="24"/>
        </w:rPr>
        <w:t>Support training efforts of health care organizations.</w:t>
      </w:r>
    </w:p>
    <w:p w14:paraId="709DC4FE" w14:textId="77777777" w:rsidR="006979DA" w:rsidRPr="00442D83" w:rsidRDefault="006979DA" w:rsidP="00B63BBA">
      <w:pPr>
        <w:pStyle w:val="ListParagraph"/>
        <w:numPr>
          <w:ilvl w:val="0"/>
          <w:numId w:val="36"/>
        </w:numPr>
        <w:spacing w:after="160" w:line="240" w:lineRule="auto"/>
        <w:rPr>
          <w:rFonts w:ascii="Times New Roman" w:hAnsi="Times New Roman" w:cs="Times New Roman"/>
          <w:sz w:val="24"/>
          <w:szCs w:val="24"/>
        </w:rPr>
      </w:pPr>
      <w:r w:rsidRPr="00442D83">
        <w:rPr>
          <w:rFonts w:ascii="Times New Roman" w:hAnsi="Times New Roman" w:cs="Times New Roman"/>
          <w:sz w:val="24"/>
          <w:szCs w:val="24"/>
        </w:rPr>
        <w:t>Establish and distribute regional plans.</w:t>
      </w:r>
    </w:p>
    <w:p w14:paraId="6F9B31BE" w14:textId="77777777" w:rsidR="006979DA" w:rsidRPr="00442D83" w:rsidRDefault="006979DA" w:rsidP="00B63BBA">
      <w:pPr>
        <w:pStyle w:val="ListParagraph"/>
        <w:numPr>
          <w:ilvl w:val="0"/>
          <w:numId w:val="36"/>
        </w:numPr>
        <w:spacing w:after="160" w:line="240" w:lineRule="auto"/>
        <w:rPr>
          <w:rFonts w:ascii="Times New Roman" w:hAnsi="Times New Roman" w:cs="Times New Roman"/>
          <w:sz w:val="24"/>
          <w:szCs w:val="24"/>
        </w:rPr>
      </w:pPr>
      <w:r w:rsidRPr="00442D83">
        <w:rPr>
          <w:rFonts w:ascii="Times New Roman" w:hAnsi="Times New Roman" w:cs="Times New Roman"/>
          <w:sz w:val="24"/>
          <w:szCs w:val="24"/>
        </w:rPr>
        <w:t>Communicate with health care systems to understand regional resources and the need for training and resource stockpiles.</w:t>
      </w:r>
    </w:p>
    <w:p w14:paraId="2FD02E66" w14:textId="77777777" w:rsidR="006979DA" w:rsidRPr="00442D83" w:rsidRDefault="006979DA" w:rsidP="00B63BBA">
      <w:pPr>
        <w:pStyle w:val="ListParagraph"/>
        <w:numPr>
          <w:ilvl w:val="0"/>
          <w:numId w:val="36"/>
        </w:numPr>
        <w:spacing w:after="160" w:line="240" w:lineRule="auto"/>
        <w:rPr>
          <w:rFonts w:ascii="Times New Roman" w:hAnsi="Times New Roman" w:cs="Times New Roman"/>
          <w:sz w:val="24"/>
          <w:szCs w:val="24"/>
        </w:rPr>
      </w:pPr>
      <w:r w:rsidRPr="00442D83">
        <w:rPr>
          <w:rFonts w:ascii="Times New Roman" w:hAnsi="Times New Roman" w:cs="Times New Roman"/>
          <w:sz w:val="24"/>
          <w:szCs w:val="24"/>
        </w:rPr>
        <w:t>Support communication and coordination efforts of EMS and hospitals as needed.</w:t>
      </w:r>
    </w:p>
    <w:p w14:paraId="6090D9F1" w14:textId="77777777" w:rsidR="006979DA" w:rsidRPr="00442D83" w:rsidRDefault="006979DA" w:rsidP="00B63BBA">
      <w:pPr>
        <w:pStyle w:val="ListParagraph"/>
        <w:numPr>
          <w:ilvl w:val="0"/>
          <w:numId w:val="36"/>
        </w:numPr>
        <w:spacing w:after="160" w:line="240" w:lineRule="auto"/>
        <w:rPr>
          <w:rFonts w:ascii="Times New Roman" w:hAnsi="Times New Roman" w:cs="Times New Roman"/>
          <w:sz w:val="24"/>
          <w:szCs w:val="24"/>
        </w:rPr>
      </w:pPr>
      <w:r w:rsidRPr="00442D83">
        <w:rPr>
          <w:rFonts w:ascii="Times New Roman" w:hAnsi="Times New Roman" w:cs="Times New Roman"/>
          <w:sz w:val="24"/>
          <w:szCs w:val="24"/>
        </w:rPr>
        <w:t>Support of the local community by understanding mental health resources for first responders.</w:t>
      </w:r>
    </w:p>
    <w:p w14:paraId="3005D90E" w14:textId="77777777" w:rsidR="006979DA" w:rsidRPr="00442D83" w:rsidRDefault="006979DA" w:rsidP="00B63BBA">
      <w:pPr>
        <w:pStyle w:val="ListParagraph"/>
        <w:numPr>
          <w:ilvl w:val="0"/>
          <w:numId w:val="36"/>
        </w:numPr>
        <w:spacing w:after="160" w:line="240" w:lineRule="auto"/>
        <w:rPr>
          <w:rFonts w:ascii="Times New Roman" w:hAnsi="Times New Roman" w:cs="Times New Roman"/>
          <w:sz w:val="24"/>
          <w:szCs w:val="24"/>
        </w:rPr>
      </w:pPr>
      <w:r w:rsidRPr="00442D83">
        <w:rPr>
          <w:rFonts w:ascii="Times New Roman" w:hAnsi="Times New Roman" w:cs="Times New Roman"/>
          <w:sz w:val="24"/>
          <w:szCs w:val="24"/>
        </w:rPr>
        <w:t>Support or conduct review efforts of the incident and update plans with lessons learned.</w:t>
      </w:r>
    </w:p>
    <w:p w14:paraId="6B64B424" w14:textId="77777777" w:rsidR="006979DA" w:rsidRPr="00442D83" w:rsidRDefault="006979DA" w:rsidP="00B63BBA">
      <w:pPr>
        <w:pStyle w:val="ListParagraph"/>
        <w:numPr>
          <w:ilvl w:val="0"/>
          <w:numId w:val="36"/>
        </w:numPr>
        <w:spacing w:after="160" w:line="240" w:lineRule="auto"/>
        <w:rPr>
          <w:rFonts w:ascii="Times New Roman" w:hAnsi="Times New Roman" w:cs="Times New Roman"/>
          <w:sz w:val="24"/>
          <w:szCs w:val="24"/>
        </w:rPr>
      </w:pPr>
      <w:r w:rsidRPr="00442D83">
        <w:rPr>
          <w:rFonts w:ascii="Times New Roman" w:hAnsi="Times New Roman" w:cs="Times New Roman"/>
          <w:sz w:val="24"/>
          <w:szCs w:val="24"/>
        </w:rPr>
        <w:t>Support the coordination of reimbursement needs.</w:t>
      </w:r>
    </w:p>
    <w:p w14:paraId="115FC2EA" w14:textId="2EBF7DDB" w:rsidR="006979DA" w:rsidRPr="00B85729" w:rsidRDefault="006979DA" w:rsidP="00B63BBA">
      <w:pPr>
        <w:spacing w:line="240" w:lineRule="auto"/>
        <w:rPr>
          <w:rFonts w:ascii="Times New Roman" w:hAnsi="Times New Roman" w:cs="Times New Roman"/>
          <w:sz w:val="24"/>
          <w:szCs w:val="24"/>
        </w:rPr>
      </w:pPr>
      <w:r w:rsidRPr="00B85729">
        <w:rPr>
          <w:rFonts w:ascii="Times New Roman" w:hAnsi="Times New Roman" w:cs="Times New Roman"/>
          <w:sz w:val="24"/>
          <w:szCs w:val="24"/>
          <w:highlight w:val="yellow"/>
        </w:rPr>
        <w:t xml:space="preserve">Add </w:t>
      </w:r>
      <w:r w:rsidR="00F91E7D">
        <w:rPr>
          <w:rFonts w:ascii="Times New Roman" w:hAnsi="Times New Roman" w:cs="Times New Roman"/>
          <w:sz w:val="24"/>
          <w:szCs w:val="24"/>
          <w:highlight w:val="yellow"/>
        </w:rPr>
        <w:t>r</w:t>
      </w:r>
      <w:r w:rsidRPr="00B85729">
        <w:rPr>
          <w:rFonts w:ascii="Times New Roman" w:hAnsi="Times New Roman" w:cs="Times New Roman"/>
          <w:sz w:val="24"/>
          <w:szCs w:val="24"/>
          <w:highlight w:val="yellow"/>
        </w:rPr>
        <w:t>egional</w:t>
      </w:r>
      <w:r w:rsidR="00FC20B0">
        <w:rPr>
          <w:rFonts w:ascii="Times New Roman" w:hAnsi="Times New Roman" w:cs="Times New Roman"/>
          <w:sz w:val="24"/>
          <w:szCs w:val="24"/>
          <w:highlight w:val="yellow"/>
        </w:rPr>
        <w:t>-</w:t>
      </w:r>
      <w:r w:rsidRPr="00B85729">
        <w:rPr>
          <w:rFonts w:ascii="Times New Roman" w:hAnsi="Times New Roman" w:cs="Times New Roman"/>
          <w:sz w:val="24"/>
          <w:szCs w:val="24"/>
          <w:highlight w:val="yellow"/>
        </w:rPr>
        <w:t>specific information to this section as necessary</w:t>
      </w:r>
    </w:p>
    <w:p w14:paraId="21C54BF9" w14:textId="77777777" w:rsidR="006979DA" w:rsidRPr="00B85729" w:rsidRDefault="006979DA" w:rsidP="00B63BBA">
      <w:pPr>
        <w:spacing w:line="240" w:lineRule="auto"/>
        <w:rPr>
          <w:rFonts w:ascii="Times New Roman" w:hAnsi="Times New Roman" w:cs="Times New Roman"/>
          <w:sz w:val="24"/>
          <w:szCs w:val="24"/>
        </w:rPr>
      </w:pPr>
      <w:r w:rsidRPr="00B85729">
        <w:rPr>
          <w:rFonts w:ascii="Times New Roman" w:hAnsi="Times New Roman" w:cs="Times New Roman"/>
          <w:sz w:val="24"/>
          <w:szCs w:val="24"/>
          <w:highlight w:val="yellow"/>
        </w:rPr>
        <w:t>Add additional roles and responsibilities as needed</w:t>
      </w:r>
    </w:p>
    <w:p w14:paraId="20EA7A18" w14:textId="77777777" w:rsidR="006979DA" w:rsidRPr="00360557" w:rsidRDefault="006979DA" w:rsidP="00B63BBA">
      <w:pPr>
        <w:pStyle w:val="Heading2"/>
        <w:spacing w:line="240" w:lineRule="auto"/>
        <w:rPr>
          <w:rFonts w:ascii="Times New Roman" w:hAnsi="Times New Roman" w:cs="Times New Roman"/>
          <w:b/>
          <w:bCs/>
          <w:color w:val="auto"/>
        </w:rPr>
      </w:pPr>
      <w:bookmarkStart w:id="15" w:name="_Toc116373906"/>
      <w:r w:rsidRPr="00360557">
        <w:rPr>
          <w:rFonts w:ascii="Times New Roman" w:hAnsi="Times New Roman" w:cs="Times New Roman"/>
          <w:b/>
          <w:bCs/>
          <w:color w:val="auto"/>
        </w:rPr>
        <w:t>Activation of the state plan</w:t>
      </w:r>
      <w:bookmarkEnd w:id="15"/>
    </w:p>
    <w:p w14:paraId="51446147" w14:textId="6DD117CD" w:rsidR="001D73D2" w:rsidRPr="006979DA" w:rsidRDefault="001D73D2" w:rsidP="00B63BBA">
      <w:pPr>
        <w:spacing w:after="0" w:line="240" w:lineRule="auto"/>
        <w:rPr>
          <w:rFonts w:ascii="Times New Roman" w:hAnsi="Times New Roman" w:cs="Times New Roman"/>
          <w:sz w:val="24"/>
          <w:szCs w:val="24"/>
        </w:rPr>
      </w:pPr>
      <w:r w:rsidRPr="006979DA">
        <w:rPr>
          <w:rFonts w:ascii="Times New Roman" w:hAnsi="Times New Roman" w:cs="Times New Roman"/>
          <w:sz w:val="24"/>
          <w:szCs w:val="24"/>
        </w:rPr>
        <w:t xml:space="preserve">This Medical Surge </w:t>
      </w:r>
      <w:r w:rsidR="006979DA" w:rsidRPr="006979DA">
        <w:rPr>
          <w:rFonts w:ascii="Times New Roman" w:hAnsi="Times New Roman" w:cs="Times New Roman"/>
          <w:sz w:val="24"/>
          <w:szCs w:val="24"/>
        </w:rPr>
        <w:t xml:space="preserve">Annex to the </w:t>
      </w:r>
      <w:r w:rsidR="00C60719">
        <w:rPr>
          <w:rFonts w:ascii="Times New Roman" w:hAnsi="Times New Roman" w:cs="Times New Roman"/>
          <w:sz w:val="24"/>
          <w:szCs w:val="24"/>
        </w:rPr>
        <w:t xml:space="preserve">Wisconsin </w:t>
      </w:r>
      <w:r w:rsidR="00C60719" w:rsidRPr="006979DA">
        <w:rPr>
          <w:rFonts w:ascii="Times New Roman" w:hAnsi="Times New Roman" w:cs="Times New Roman"/>
          <w:sz w:val="24"/>
          <w:szCs w:val="24"/>
        </w:rPr>
        <w:t>D</w:t>
      </w:r>
      <w:r w:rsidR="00C60719">
        <w:rPr>
          <w:rFonts w:ascii="Times New Roman" w:hAnsi="Times New Roman" w:cs="Times New Roman"/>
          <w:sz w:val="24"/>
          <w:szCs w:val="24"/>
        </w:rPr>
        <w:t>epartment of Health Services (DH</w:t>
      </w:r>
      <w:r w:rsidR="006979DA" w:rsidRPr="006979DA">
        <w:rPr>
          <w:rFonts w:ascii="Times New Roman" w:hAnsi="Times New Roman" w:cs="Times New Roman"/>
          <w:sz w:val="24"/>
          <w:szCs w:val="24"/>
        </w:rPr>
        <w:t>S</w:t>
      </w:r>
      <w:r w:rsidR="00C60719">
        <w:rPr>
          <w:rFonts w:ascii="Times New Roman" w:hAnsi="Times New Roman" w:cs="Times New Roman"/>
          <w:sz w:val="24"/>
          <w:szCs w:val="24"/>
        </w:rPr>
        <w:t>)</w:t>
      </w:r>
      <w:r w:rsidR="006979DA" w:rsidRPr="006979DA">
        <w:rPr>
          <w:rFonts w:ascii="Times New Roman" w:hAnsi="Times New Roman" w:cs="Times New Roman"/>
          <w:sz w:val="24"/>
          <w:szCs w:val="24"/>
        </w:rPr>
        <w:t xml:space="preserve"> </w:t>
      </w:r>
      <w:r w:rsidR="00C60719">
        <w:rPr>
          <w:rFonts w:ascii="Times New Roman" w:hAnsi="Times New Roman" w:cs="Times New Roman"/>
          <w:sz w:val="24"/>
          <w:szCs w:val="24"/>
        </w:rPr>
        <w:t>Emergency Operations Plan (</w:t>
      </w:r>
      <w:r w:rsidR="006979DA" w:rsidRPr="006979DA">
        <w:rPr>
          <w:rFonts w:ascii="Times New Roman" w:hAnsi="Times New Roman" w:cs="Times New Roman"/>
          <w:sz w:val="24"/>
          <w:szCs w:val="24"/>
        </w:rPr>
        <w:t>EOP</w:t>
      </w:r>
      <w:r w:rsidR="00C60719">
        <w:rPr>
          <w:rFonts w:ascii="Times New Roman" w:hAnsi="Times New Roman" w:cs="Times New Roman"/>
          <w:sz w:val="24"/>
          <w:szCs w:val="24"/>
        </w:rPr>
        <w:t>)</w:t>
      </w:r>
      <w:r w:rsidRPr="006979DA">
        <w:rPr>
          <w:rFonts w:ascii="Times New Roman" w:hAnsi="Times New Roman" w:cs="Times New Roman"/>
          <w:sz w:val="24"/>
          <w:szCs w:val="24"/>
        </w:rPr>
        <w:t xml:space="preserve"> is activated when involved organizations have determined that resources and support are needed to respond to a health care surge. A health care surge is determined by current and forecasted capabilities (</w:t>
      </w:r>
      <w:r w:rsidR="00E90945">
        <w:rPr>
          <w:rFonts w:ascii="Times New Roman" w:hAnsi="Times New Roman" w:cs="Times New Roman"/>
          <w:sz w:val="24"/>
          <w:szCs w:val="24"/>
        </w:rPr>
        <w:t>such as</w:t>
      </w:r>
      <w:r w:rsidRPr="006979DA">
        <w:rPr>
          <w:rFonts w:ascii="Times New Roman" w:hAnsi="Times New Roman" w:cs="Times New Roman"/>
          <w:sz w:val="24"/>
          <w:szCs w:val="24"/>
        </w:rPr>
        <w:t xml:space="preserve"> bed availability, staffing, and supplies) or a hospital to be able to safely conduct patient care. Local and regional resources must be utilized prior to the activation of state and federal resources. The HERCs may activate their regional surge plans as needed.</w:t>
      </w:r>
    </w:p>
    <w:p w14:paraId="4754B28A" w14:textId="77777777" w:rsidR="001D73D2" w:rsidRPr="006979DA" w:rsidRDefault="001D73D2" w:rsidP="00B63BBA">
      <w:pPr>
        <w:pStyle w:val="NoSpacing"/>
        <w:rPr>
          <w:rFonts w:ascii="Times New Roman" w:hAnsi="Times New Roman" w:cs="Times New Roman"/>
          <w:b/>
          <w:i/>
          <w:iCs/>
        </w:rPr>
      </w:pPr>
    </w:p>
    <w:p w14:paraId="1752387E" w14:textId="4F1E8EF4" w:rsidR="001D73D2" w:rsidRPr="006979DA" w:rsidRDefault="001D73D2" w:rsidP="00B63BBA">
      <w:pPr>
        <w:spacing w:after="0" w:line="240" w:lineRule="auto"/>
        <w:rPr>
          <w:rFonts w:ascii="Times New Roman" w:hAnsi="Times New Roman" w:cs="Times New Roman"/>
          <w:i/>
          <w:iCs/>
        </w:rPr>
      </w:pPr>
      <w:r w:rsidRPr="006979DA">
        <w:rPr>
          <w:rFonts w:ascii="Times New Roman" w:eastAsiaTheme="majorEastAsia" w:hAnsi="Times New Roman" w:cs="Times New Roman"/>
          <w:b/>
          <w:bCs/>
          <w:sz w:val="26"/>
          <w:szCs w:val="26"/>
        </w:rPr>
        <w:t xml:space="preserve">Pediatric </w:t>
      </w:r>
      <w:r w:rsidR="00C60719">
        <w:rPr>
          <w:rFonts w:ascii="Times New Roman" w:eastAsiaTheme="majorEastAsia" w:hAnsi="Times New Roman" w:cs="Times New Roman"/>
          <w:b/>
          <w:bCs/>
          <w:sz w:val="26"/>
          <w:szCs w:val="26"/>
        </w:rPr>
        <w:t>c</w:t>
      </w:r>
      <w:r w:rsidRPr="006979DA">
        <w:rPr>
          <w:rFonts w:ascii="Times New Roman" w:eastAsiaTheme="majorEastAsia" w:hAnsi="Times New Roman" w:cs="Times New Roman"/>
          <w:b/>
          <w:bCs/>
          <w:sz w:val="26"/>
          <w:szCs w:val="26"/>
        </w:rPr>
        <w:t>onsiderations</w:t>
      </w:r>
    </w:p>
    <w:p w14:paraId="251326B2" w14:textId="77777777" w:rsidR="006979DA" w:rsidRPr="00B85729" w:rsidRDefault="006979DA" w:rsidP="00B63BBA">
      <w:pPr>
        <w:spacing w:after="0" w:line="240" w:lineRule="auto"/>
        <w:rPr>
          <w:rFonts w:ascii="Times New Roman" w:hAnsi="Times New Roman" w:cs="Times New Roman"/>
          <w:sz w:val="24"/>
          <w:szCs w:val="24"/>
        </w:rPr>
      </w:pPr>
      <w:r w:rsidRPr="00B85729">
        <w:rPr>
          <w:rFonts w:ascii="Times New Roman" w:hAnsi="Times New Roman" w:cs="Times New Roman"/>
          <w:sz w:val="24"/>
          <w:szCs w:val="24"/>
        </w:rPr>
        <w:t>Pediatric patients should be transferred to one of the following:</w:t>
      </w:r>
    </w:p>
    <w:p w14:paraId="6AC0466A" w14:textId="77777777" w:rsidR="006979DA" w:rsidRPr="00B85729" w:rsidRDefault="006979DA" w:rsidP="00B63BBA">
      <w:pPr>
        <w:pStyle w:val="ListParagraph"/>
        <w:numPr>
          <w:ilvl w:val="0"/>
          <w:numId w:val="37"/>
        </w:numPr>
        <w:spacing w:after="0" w:line="240" w:lineRule="auto"/>
        <w:rPr>
          <w:rFonts w:ascii="Times New Roman" w:hAnsi="Times New Roman" w:cs="Times New Roman"/>
          <w:sz w:val="24"/>
          <w:szCs w:val="24"/>
        </w:rPr>
      </w:pPr>
      <w:r w:rsidRPr="00B85729">
        <w:rPr>
          <w:rFonts w:ascii="Times New Roman" w:hAnsi="Times New Roman" w:cs="Times New Roman"/>
          <w:sz w:val="24"/>
          <w:szCs w:val="24"/>
        </w:rPr>
        <w:t xml:space="preserve">American Family Children’s Hospital (level 1 trauma center) in Madison </w:t>
      </w:r>
    </w:p>
    <w:p w14:paraId="6D5A42D9" w14:textId="34E0F92E" w:rsidR="006979DA" w:rsidRPr="00B85729" w:rsidRDefault="006979DA" w:rsidP="00B63BBA">
      <w:pPr>
        <w:pStyle w:val="ListParagraph"/>
        <w:numPr>
          <w:ilvl w:val="0"/>
          <w:numId w:val="37"/>
        </w:numPr>
        <w:spacing w:after="0" w:line="240" w:lineRule="auto"/>
        <w:rPr>
          <w:rFonts w:ascii="Times New Roman" w:hAnsi="Times New Roman" w:cs="Times New Roman"/>
          <w:sz w:val="24"/>
          <w:szCs w:val="24"/>
        </w:rPr>
      </w:pPr>
      <w:r w:rsidRPr="00B85729">
        <w:rPr>
          <w:rFonts w:ascii="Times New Roman" w:hAnsi="Times New Roman" w:cs="Times New Roman"/>
          <w:sz w:val="24"/>
          <w:szCs w:val="24"/>
        </w:rPr>
        <w:t>Children’s Hospital of Wisconsin (level 1 trauma center) in Milwaukee</w:t>
      </w:r>
    </w:p>
    <w:p w14:paraId="3AC35FB7" w14:textId="348D877B" w:rsidR="006979DA" w:rsidRPr="00B85729" w:rsidRDefault="006979DA" w:rsidP="00B63BBA">
      <w:pPr>
        <w:pStyle w:val="ListParagraph"/>
        <w:numPr>
          <w:ilvl w:val="0"/>
          <w:numId w:val="37"/>
        </w:numPr>
        <w:spacing w:after="0" w:line="240" w:lineRule="auto"/>
        <w:rPr>
          <w:rFonts w:ascii="Times New Roman" w:hAnsi="Times New Roman" w:cs="Times New Roman"/>
          <w:sz w:val="24"/>
          <w:szCs w:val="24"/>
        </w:rPr>
      </w:pPr>
      <w:r w:rsidRPr="00B85729">
        <w:rPr>
          <w:rFonts w:ascii="Times New Roman" w:hAnsi="Times New Roman" w:cs="Times New Roman"/>
          <w:sz w:val="24"/>
          <w:szCs w:val="24"/>
        </w:rPr>
        <w:t>Marshfield Medical Center (level 2 trauma center) in Marshfield for severe traumatic and/or radiation injuries</w:t>
      </w:r>
    </w:p>
    <w:p w14:paraId="743BC412" w14:textId="77777777" w:rsidR="006979DA" w:rsidRPr="00B85729" w:rsidRDefault="006979DA" w:rsidP="00B63BBA">
      <w:pPr>
        <w:spacing w:after="0" w:line="240" w:lineRule="auto"/>
        <w:rPr>
          <w:rFonts w:ascii="Times New Roman" w:hAnsi="Times New Roman" w:cs="Times New Roman"/>
          <w:sz w:val="24"/>
          <w:szCs w:val="24"/>
        </w:rPr>
      </w:pPr>
      <w:r w:rsidRPr="00B85729">
        <w:rPr>
          <w:rFonts w:ascii="Times New Roman" w:hAnsi="Times New Roman" w:cs="Times New Roman"/>
          <w:b/>
          <w:bCs/>
          <w:sz w:val="24"/>
          <w:szCs w:val="24"/>
        </w:rPr>
        <w:t>Note</w:t>
      </w:r>
      <w:r w:rsidRPr="00B85729">
        <w:rPr>
          <w:rFonts w:ascii="Times New Roman" w:hAnsi="Times New Roman" w:cs="Times New Roman"/>
          <w:sz w:val="24"/>
          <w:szCs w:val="24"/>
        </w:rPr>
        <w:t>: Pediatric patients may need additional follow-up care following a radiation incident as younger persons are more at risk for negative long-term effects of radiation exposure.</w:t>
      </w:r>
    </w:p>
    <w:p w14:paraId="73F79ADD" w14:textId="77777777" w:rsidR="001D73D2" w:rsidRPr="006979DA" w:rsidRDefault="001D73D2" w:rsidP="00B63BBA">
      <w:pPr>
        <w:pStyle w:val="NoSpacing"/>
        <w:rPr>
          <w:rFonts w:ascii="Times New Roman" w:hAnsi="Times New Roman" w:cs="Times New Roman"/>
          <w:bCs/>
          <w:i/>
          <w:iCs/>
        </w:rPr>
      </w:pPr>
    </w:p>
    <w:p w14:paraId="00623F05" w14:textId="1BC095D2" w:rsidR="001D73D2" w:rsidRPr="006979DA" w:rsidRDefault="001D73D2" w:rsidP="00B63BBA">
      <w:pPr>
        <w:pStyle w:val="Heading2"/>
        <w:spacing w:line="240" w:lineRule="auto"/>
        <w:rPr>
          <w:rFonts w:ascii="Times New Roman" w:hAnsi="Times New Roman" w:cs="Times New Roman"/>
          <w:b/>
          <w:bCs/>
          <w:color w:val="auto"/>
        </w:rPr>
      </w:pPr>
      <w:bookmarkStart w:id="16" w:name="_Toc88225722"/>
      <w:bookmarkStart w:id="17" w:name="_Toc94006748"/>
      <w:r w:rsidRPr="006979DA">
        <w:rPr>
          <w:rFonts w:ascii="Times New Roman" w:hAnsi="Times New Roman" w:cs="Times New Roman"/>
          <w:b/>
          <w:bCs/>
          <w:color w:val="auto"/>
        </w:rPr>
        <w:t xml:space="preserve">Communication </w:t>
      </w:r>
      <w:r w:rsidR="00E90945">
        <w:rPr>
          <w:rFonts w:ascii="Times New Roman" w:hAnsi="Times New Roman" w:cs="Times New Roman"/>
          <w:b/>
          <w:bCs/>
          <w:color w:val="auto"/>
        </w:rPr>
        <w:t>m</w:t>
      </w:r>
      <w:r w:rsidRPr="006979DA">
        <w:rPr>
          <w:rFonts w:ascii="Times New Roman" w:hAnsi="Times New Roman" w:cs="Times New Roman"/>
          <w:b/>
          <w:bCs/>
          <w:color w:val="auto"/>
        </w:rPr>
        <w:t>e</w:t>
      </w:r>
      <w:r w:rsidR="00E90945">
        <w:rPr>
          <w:rFonts w:ascii="Times New Roman" w:hAnsi="Times New Roman" w:cs="Times New Roman"/>
          <w:b/>
          <w:bCs/>
          <w:color w:val="auto"/>
        </w:rPr>
        <w:t>chanisms</w:t>
      </w:r>
    </w:p>
    <w:p w14:paraId="3DB04645" w14:textId="77777777" w:rsidR="006979DA" w:rsidRPr="00B85729" w:rsidRDefault="006979DA" w:rsidP="00B63BBA">
      <w:pPr>
        <w:spacing w:after="0" w:line="240" w:lineRule="auto"/>
        <w:rPr>
          <w:rFonts w:ascii="Times New Roman" w:hAnsi="Times New Roman" w:cs="Times New Roman"/>
          <w:sz w:val="24"/>
          <w:szCs w:val="24"/>
        </w:rPr>
      </w:pPr>
      <w:r w:rsidRPr="00B85729">
        <w:rPr>
          <w:rFonts w:ascii="Times New Roman" w:hAnsi="Times New Roman" w:cs="Times New Roman"/>
          <w:sz w:val="24"/>
          <w:szCs w:val="24"/>
        </w:rPr>
        <w:t>There are several communication methods used in the notification process of this plan:</w:t>
      </w:r>
    </w:p>
    <w:p w14:paraId="2E8493AB" w14:textId="77777777" w:rsidR="006979DA" w:rsidRPr="00B85729" w:rsidRDefault="00000000" w:rsidP="00B63BBA">
      <w:pPr>
        <w:pStyle w:val="ListParagraph"/>
        <w:numPr>
          <w:ilvl w:val="0"/>
          <w:numId w:val="37"/>
        </w:numPr>
        <w:spacing w:after="0" w:line="240" w:lineRule="auto"/>
        <w:rPr>
          <w:rFonts w:ascii="Times New Roman" w:hAnsi="Times New Roman" w:cs="Times New Roman"/>
          <w:sz w:val="24"/>
          <w:szCs w:val="24"/>
        </w:rPr>
      </w:pPr>
      <w:hyperlink r:id="rId9" w:history="1">
        <w:proofErr w:type="spellStart"/>
        <w:r w:rsidR="006979DA" w:rsidRPr="00B85729">
          <w:rPr>
            <w:rStyle w:val="Hyperlink"/>
            <w:rFonts w:ascii="Times New Roman" w:hAnsi="Times New Roman" w:cs="Times New Roman"/>
            <w:b/>
            <w:bCs/>
            <w:sz w:val="24"/>
            <w:szCs w:val="24"/>
          </w:rPr>
          <w:t>EMResource</w:t>
        </w:r>
        <w:proofErr w:type="spellEnd"/>
      </w:hyperlink>
      <w:r w:rsidR="006979DA" w:rsidRPr="00B85729">
        <w:rPr>
          <w:rFonts w:ascii="Times New Roman" w:hAnsi="Times New Roman" w:cs="Times New Roman"/>
          <w:sz w:val="24"/>
          <w:szCs w:val="24"/>
        </w:rPr>
        <w:t xml:space="preserve">: </w:t>
      </w:r>
      <w:proofErr w:type="spellStart"/>
      <w:r w:rsidR="006979DA" w:rsidRPr="00B85729">
        <w:rPr>
          <w:rFonts w:ascii="Times New Roman" w:hAnsi="Times New Roman" w:cs="Times New Roman"/>
          <w:sz w:val="24"/>
          <w:szCs w:val="24"/>
        </w:rPr>
        <w:t>EMResource</w:t>
      </w:r>
      <w:proofErr w:type="spellEnd"/>
      <w:r w:rsidR="006979DA" w:rsidRPr="00B85729">
        <w:rPr>
          <w:rFonts w:ascii="Times New Roman" w:hAnsi="Times New Roman" w:cs="Times New Roman"/>
          <w:sz w:val="24"/>
          <w:szCs w:val="24"/>
        </w:rPr>
        <w:t xml:space="preserve"> is a tool that health care facilities use to alert and communicate with each other and with their emergency response partners in both an emergency and on a day-to-day basis.</w:t>
      </w:r>
      <w:r w:rsidR="006979DA" w:rsidRPr="00B85729">
        <w:rPr>
          <w:rFonts w:ascii="Times New Roman" w:hAnsi="Times New Roman" w:cs="Times New Roman"/>
          <w:color w:val="545454"/>
          <w:sz w:val="24"/>
          <w:szCs w:val="24"/>
          <w:shd w:val="clear" w:color="auto" w:fill="FFFFFF"/>
        </w:rPr>
        <w:t xml:space="preserve"> </w:t>
      </w:r>
      <w:r w:rsidR="006979DA" w:rsidRPr="00B85729">
        <w:rPr>
          <w:rFonts w:ascii="Times New Roman" w:hAnsi="Times New Roman" w:cs="Times New Roman"/>
          <w:sz w:val="24"/>
          <w:szCs w:val="24"/>
        </w:rPr>
        <w:t>The alert is</w:t>
      </w:r>
      <w:r w:rsidR="006979DA" w:rsidRPr="00B85729">
        <w:rPr>
          <w:rFonts w:ascii="Times New Roman" w:hAnsi="Times New Roman" w:cs="Times New Roman"/>
          <w:b/>
          <w:bCs/>
          <w:sz w:val="24"/>
          <w:szCs w:val="24"/>
        </w:rPr>
        <w:t xml:space="preserve"> </w:t>
      </w:r>
      <w:r w:rsidR="006979DA" w:rsidRPr="00B85729">
        <w:rPr>
          <w:rFonts w:ascii="Times New Roman" w:hAnsi="Times New Roman" w:cs="Times New Roman"/>
          <w:sz w:val="24"/>
          <w:szCs w:val="24"/>
        </w:rPr>
        <w:t xml:space="preserve">usually initiated by the local facility to alert others of a mass casualty incident. </w:t>
      </w:r>
      <w:proofErr w:type="spellStart"/>
      <w:r w:rsidR="006979DA" w:rsidRPr="00B85729">
        <w:rPr>
          <w:rFonts w:ascii="Times New Roman" w:hAnsi="Times New Roman" w:cs="Times New Roman"/>
          <w:sz w:val="24"/>
          <w:szCs w:val="24"/>
        </w:rPr>
        <w:t>EMResource</w:t>
      </w:r>
      <w:proofErr w:type="spellEnd"/>
      <w:r w:rsidR="006979DA" w:rsidRPr="00B85729">
        <w:rPr>
          <w:rFonts w:ascii="Times New Roman" w:hAnsi="Times New Roman" w:cs="Times New Roman"/>
          <w:sz w:val="24"/>
          <w:szCs w:val="24"/>
        </w:rPr>
        <w:t xml:space="preserve"> also allows for polling of facilities to conduct bed capacity counts. Any member of </w:t>
      </w:r>
      <w:proofErr w:type="spellStart"/>
      <w:r w:rsidR="006979DA" w:rsidRPr="00B85729">
        <w:rPr>
          <w:rFonts w:ascii="Times New Roman" w:hAnsi="Times New Roman" w:cs="Times New Roman"/>
          <w:sz w:val="24"/>
          <w:szCs w:val="24"/>
        </w:rPr>
        <w:t>EMResource</w:t>
      </w:r>
      <w:proofErr w:type="spellEnd"/>
      <w:r w:rsidR="006979DA" w:rsidRPr="00B85729">
        <w:rPr>
          <w:rFonts w:ascii="Times New Roman" w:hAnsi="Times New Roman" w:cs="Times New Roman"/>
          <w:sz w:val="24"/>
          <w:szCs w:val="24"/>
        </w:rPr>
        <w:t xml:space="preserve"> can register an event, and alerts can be sent to specific facilities, partners in a region, or all state partners. </w:t>
      </w:r>
    </w:p>
    <w:p w14:paraId="2F21CF5A" w14:textId="77777777" w:rsidR="006979DA" w:rsidRPr="00B85729" w:rsidRDefault="00000000" w:rsidP="00B63BBA">
      <w:pPr>
        <w:pStyle w:val="ListParagraph"/>
        <w:numPr>
          <w:ilvl w:val="0"/>
          <w:numId w:val="37"/>
        </w:numPr>
        <w:spacing w:after="0" w:line="240" w:lineRule="auto"/>
        <w:rPr>
          <w:rFonts w:ascii="Times New Roman" w:hAnsi="Times New Roman" w:cs="Times New Roman"/>
          <w:sz w:val="24"/>
          <w:szCs w:val="24"/>
        </w:rPr>
      </w:pPr>
      <w:hyperlink r:id="rId10" w:history="1">
        <w:r w:rsidR="006979DA" w:rsidRPr="00B85729">
          <w:rPr>
            <w:rStyle w:val="Hyperlink"/>
            <w:rFonts w:ascii="Times New Roman" w:hAnsi="Times New Roman" w:cs="Times New Roman"/>
            <w:b/>
            <w:bCs/>
            <w:sz w:val="24"/>
            <w:szCs w:val="24"/>
          </w:rPr>
          <w:t>WISCOM</w:t>
        </w:r>
      </w:hyperlink>
      <w:r w:rsidR="006979DA" w:rsidRPr="00B85729">
        <w:rPr>
          <w:rFonts w:ascii="Times New Roman" w:hAnsi="Times New Roman" w:cs="Times New Roman"/>
          <w:sz w:val="24"/>
          <w:szCs w:val="24"/>
        </w:rPr>
        <w:t>: The Wisconsin Interoperable System for Communications (WISCOM) radio system is a statewide wireless radio-frequency network primarily used for emergency communication between facilities.</w:t>
      </w:r>
    </w:p>
    <w:p w14:paraId="3F1C8D6E" w14:textId="77777777" w:rsidR="006979DA" w:rsidRPr="00B85729" w:rsidRDefault="006979DA" w:rsidP="00B63BBA">
      <w:pPr>
        <w:pStyle w:val="ListParagraph"/>
        <w:numPr>
          <w:ilvl w:val="0"/>
          <w:numId w:val="37"/>
        </w:numPr>
        <w:spacing w:after="0" w:line="240" w:lineRule="auto"/>
        <w:rPr>
          <w:rFonts w:ascii="Times New Roman" w:hAnsi="Times New Roman" w:cs="Times New Roman"/>
          <w:sz w:val="24"/>
          <w:szCs w:val="24"/>
        </w:rPr>
      </w:pPr>
      <w:r w:rsidRPr="00B85729">
        <w:rPr>
          <w:rFonts w:ascii="Times New Roman" w:hAnsi="Times New Roman" w:cs="Times New Roman"/>
          <w:b/>
          <w:bCs/>
          <w:sz w:val="24"/>
          <w:szCs w:val="24"/>
        </w:rPr>
        <w:t>Additional radio channels</w:t>
      </w:r>
      <w:r w:rsidRPr="00B85729">
        <w:rPr>
          <w:rFonts w:ascii="Times New Roman" w:hAnsi="Times New Roman" w:cs="Times New Roman"/>
          <w:sz w:val="24"/>
          <w:szCs w:val="24"/>
        </w:rPr>
        <w:t>: EMS may use a variety of radio channels to conduct transfer operations on a local or regional basis</w:t>
      </w:r>
      <w:r w:rsidRPr="00B85729">
        <w:rPr>
          <w:rStyle w:val="CommentReference"/>
          <w:rFonts w:ascii="Times New Roman" w:hAnsi="Times New Roman" w:cs="Times New Roman"/>
          <w:sz w:val="18"/>
          <w:szCs w:val="18"/>
        </w:rPr>
        <w:t>.</w:t>
      </w:r>
    </w:p>
    <w:p w14:paraId="456A97B7" w14:textId="034C0D0F" w:rsidR="006979DA" w:rsidRPr="00B85729" w:rsidRDefault="006979DA" w:rsidP="00B63BBA">
      <w:pPr>
        <w:pStyle w:val="ListParagraph"/>
        <w:numPr>
          <w:ilvl w:val="0"/>
          <w:numId w:val="37"/>
        </w:numPr>
        <w:spacing w:after="0" w:line="240" w:lineRule="auto"/>
        <w:rPr>
          <w:rFonts w:ascii="Times New Roman" w:hAnsi="Times New Roman" w:cs="Times New Roman"/>
          <w:sz w:val="24"/>
          <w:szCs w:val="24"/>
        </w:rPr>
      </w:pPr>
      <w:r w:rsidRPr="00B85729">
        <w:rPr>
          <w:rFonts w:ascii="Times New Roman" w:hAnsi="Times New Roman" w:cs="Times New Roman"/>
          <w:b/>
          <w:bCs/>
          <w:sz w:val="24"/>
          <w:szCs w:val="24"/>
        </w:rPr>
        <w:t>Phone</w:t>
      </w:r>
      <w:r w:rsidRPr="00B85729">
        <w:rPr>
          <w:rFonts w:ascii="Times New Roman" w:hAnsi="Times New Roman" w:cs="Times New Roman"/>
          <w:sz w:val="24"/>
          <w:szCs w:val="24"/>
        </w:rPr>
        <w:t xml:space="preserve">: Traditional phone use (text, email, or call) is used for communication between organizations involved in the response (such as pediatric trauma center, EMS agency, dispatch center, hospital, local and </w:t>
      </w:r>
      <w:r w:rsidR="005D37D5">
        <w:rPr>
          <w:rFonts w:ascii="Times New Roman" w:hAnsi="Times New Roman" w:cs="Times New Roman"/>
          <w:sz w:val="24"/>
          <w:szCs w:val="24"/>
        </w:rPr>
        <w:t>T</w:t>
      </w:r>
      <w:r w:rsidRPr="00B85729">
        <w:rPr>
          <w:rFonts w:ascii="Times New Roman" w:hAnsi="Times New Roman" w:cs="Times New Roman"/>
          <w:sz w:val="24"/>
          <w:szCs w:val="24"/>
        </w:rPr>
        <w:t xml:space="preserve">ribal public health, </w:t>
      </w:r>
      <w:r w:rsidR="005D37D5">
        <w:rPr>
          <w:rFonts w:ascii="Times New Roman" w:hAnsi="Times New Roman" w:cs="Times New Roman"/>
          <w:sz w:val="24"/>
          <w:szCs w:val="24"/>
        </w:rPr>
        <w:t xml:space="preserve">and </w:t>
      </w:r>
      <w:r w:rsidRPr="00B85729">
        <w:rPr>
          <w:rFonts w:ascii="Times New Roman" w:hAnsi="Times New Roman" w:cs="Times New Roman"/>
          <w:sz w:val="24"/>
          <w:szCs w:val="24"/>
        </w:rPr>
        <w:t>HERCs).</w:t>
      </w:r>
    </w:p>
    <w:p w14:paraId="254B30C2" w14:textId="16C555AE" w:rsidR="006979DA" w:rsidRPr="00B85729" w:rsidRDefault="006979DA" w:rsidP="00B63BBA">
      <w:pPr>
        <w:pStyle w:val="ListParagraph"/>
        <w:numPr>
          <w:ilvl w:val="0"/>
          <w:numId w:val="37"/>
        </w:numPr>
        <w:spacing w:after="0" w:line="240" w:lineRule="auto"/>
        <w:rPr>
          <w:rFonts w:ascii="Times New Roman" w:hAnsi="Times New Roman" w:cs="Times New Roman"/>
          <w:sz w:val="24"/>
          <w:szCs w:val="24"/>
        </w:rPr>
      </w:pPr>
      <w:r w:rsidRPr="00B85729">
        <w:rPr>
          <w:rFonts w:ascii="Times New Roman" w:hAnsi="Times New Roman" w:cs="Times New Roman"/>
          <w:b/>
          <w:bCs/>
          <w:sz w:val="24"/>
          <w:szCs w:val="24"/>
        </w:rPr>
        <w:t>Secure fax</w:t>
      </w:r>
      <w:r w:rsidRPr="00B85729">
        <w:rPr>
          <w:rFonts w:ascii="Times New Roman" w:hAnsi="Times New Roman" w:cs="Times New Roman"/>
          <w:sz w:val="24"/>
          <w:szCs w:val="24"/>
        </w:rPr>
        <w:t>: Secure fax allows the sharing of medical records between medical facilities.</w:t>
      </w:r>
    </w:p>
    <w:p w14:paraId="509A3DD2" w14:textId="77777777" w:rsidR="006979DA" w:rsidRPr="00B85729" w:rsidRDefault="006979DA" w:rsidP="00B63BBA">
      <w:pPr>
        <w:pStyle w:val="ListParagraph"/>
        <w:numPr>
          <w:ilvl w:val="0"/>
          <w:numId w:val="37"/>
        </w:numPr>
        <w:spacing w:after="0" w:line="240" w:lineRule="auto"/>
        <w:rPr>
          <w:rFonts w:ascii="Times New Roman" w:hAnsi="Times New Roman" w:cs="Times New Roman"/>
          <w:sz w:val="24"/>
          <w:szCs w:val="24"/>
        </w:rPr>
      </w:pPr>
      <w:r w:rsidRPr="00B85729">
        <w:rPr>
          <w:rFonts w:ascii="Times New Roman" w:hAnsi="Times New Roman" w:cs="Times New Roman"/>
          <w:b/>
          <w:bCs/>
          <w:sz w:val="24"/>
          <w:szCs w:val="24"/>
        </w:rPr>
        <w:t>Secure communication platforms</w:t>
      </w:r>
      <w:r w:rsidRPr="00B85729">
        <w:rPr>
          <w:rFonts w:ascii="Times New Roman" w:hAnsi="Times New Roman" w:cs="Times New Roman"/>
          <w:sz w:val="24"/>
          <w:szCs w:val="24"/>
        </w:rPr>
        <w:t>: Communication platforms, such as Zoom or Microsoft Teams, allows for communication between any involved organization.</w:t>
      </w:r>
    </w:p>
    <w:p w14:paraId="484275BC" w14:textId="77777777" w:rsidR="006979DA" w:rsidRPr="00B85729" w:rsidRDefault="00000000" w:rsidP="00B63BBA">
      <w:pPr>
        <w:pStyle w:val="ListParagraph"/>
        <w:numPr>
          <w:ilvl w:val="0"/>
          <w:numId w:val="37"/>
        </w:numPr>
        <w:spacing w:after="0" w:line="240" w:lineRule="auto"/>
        <w:rPr>
          <w:rFonts w:ascii="Times New Roman" w:hAnsi="Times New Roman" w:cs="Times New Roman"/>
          <w:sz w:val="24"/>
          <w:szCs w:val="24"/>
        </w:rPr>
      </w:pPr>
      <w:hyperlink r:id="rId11" w:history="1">
        <w:proofErr w:type="spellStart"/>
        <w:r w:rsidR="006979DA" w:rsidRPr="00B85729">
          <w:rPr>
            <w:rStyle w:val="Hyperlink"/>
            <w:rFonts w:ascii="Times New Roman" w:hAnsi="Times New Roman" w:cs="Times New Roman"/>
            <w:b/>
            <w:bCs/>
            <w:sz w:val="24"/>
            <w:szCs w:val="24"/>
          </w:rPr>
          <w:t>EMTrack</w:t>
        </w:r>
        <w:proofErr w:type="spellEnd"/>
      </w:hyperlink>
      <w:r w:rsidR="006979DA" w:rsidRPr="00B85729">
        <w:rPr>
          <w:rFonts w:ascii="Times New Roman" w:hAnsi="Times New Roman" w:cs="Times New Roman"/>
          <w:sz w:val="24"/>
          <w:szCs w:val="24"/>
        </w:rPr>
        <w:t xml:space="preserve">: </w:t>
      </w:r>
      <w:proofErr w:type="spellStart"/>
      <w:r w:rsidR="006979DA" w:rsidRPr="00B85729">
        <w:rPr>
          <w:rFonts w:ascii="Times New Roman" w:hAnsi="Times New Roman" w:cs="Times New Roman"/>
          <w:sz w:val="24"/>
          <w:szCs w:val="24"/>
        </w:rPr>
        <w:t>EMTrack</w:t>
      </w:r>
      <w:proofErr w:type="spellEnd"/>
      <w:r w:rsidR="006979DA" w:rsidRPr="00B85729">
        <w:rPr>
          <w:rFonts w:ascii="Times New Roman" w:hAnsi="Times New Roman" w:cs="Times New Roman"/>
          <w:sz w:val="24"/>
          <w:szCs w:val="24"/>
        </w:rPr>
        <w:t xml:space="preserve"> is a tool that facilitates patient tracking in a variety of patient movement situations. It can be initiated during a prehospital encounter or at a health care facility. It can be used for tracking daily EMS transports, mass casualty incident victims, and facility evacuations, and it supports situational awareness, resource allocation, and family reunification.</w:t>
      </w:r>
    </w:p>
    <w:p w14:paraId="38AB7BF9" w14:textId="77777777" w:rsidR="006979DA" w:rsidRPr="00B85729" w:rsidRDefault="00000000" w:rsidP="00B63BBA">
      <w:pPr>
        <w:pStyle w:val="ListParagraph"/>
        <w:numPr>
          <w:ilvl w:val="0"/>
          <w:numId w:val="37"/>
        </w:numPr>
        <w:spacing w:after="0" w:line="240" w:lineRule="auto"/>
        <w:rPr>
          <w:rFonts w:ascii="Times New Roman" w:hAnsi="Times New Roman" w:cs="Times New Roman"/>
          <w:sz w:val="24"/>
          <w:szCs w:val="24"/>
        </w:rPr>
      </w:pPr>
      <w:hyperlink r:id="rId12" w:history="1">
        <w:proofErr w:type="spellStart"/>
        <w:r w:rsidR="006979DA" w:rsidRPr="00B85729">
          <w:rPr>
            <w:rStyle w:val="Hyperlink"/>
            <w:rFonts w:ascii="Times New Roman" w:hAnsi="Times New Roman" w:cs="Times New Roman"/>
            <w:b/>
            <w:bCs/>
            <w:sz w:val="24"/>
            <w:szCs w:val="24"/>
          </w:rPr>
          <w:t>eICS</w:t>
        </w:r>
        <w:proofErr w:type="spellEnd"/>
      </w:hyperlink>
      <w:r w:rsidR="006979DA" w:rsidRPr="00B85729">
        <w:rPr>
          <w:rFonts w:ascii="Times New Roman" w:hAnsi="Times New Roman" w:cs="Times New Roman"/>
          <w:sz w:val="24"/>
          <w:szCs w:val="24"/>
        </w:rPr>
        <w:t xml:space="preserve">: </w:t>
      </w:r>
      <w:proofErr w:type="spellStart"/>
      <w:r w:rsidR="006979DA" w:rsidRPr="00B85729">
        <w:rPr>
          <w:rFonts w:ascii="Times New Roman" w:hAnsi="Times New Roman" w:cs="Times New Roman"/>
          <w:sz w:val="24"/>
          <w:szCs w:val="24"/>
        </w:rPr>
        <w:t>eICS</w:t>
      </w:r>
      <w:proofErr w:type="spellEnd"/>
      <w:r w:rsidR="006979DA" w:rsidRPr="00B85729">
        <w:rPr>
          <w:rFonts w:ascii="Times New Roman" w:hAnsi="Times New Roman" w:cs="Times New Roman"/>
          <w:sz w:val="24"/>
          <w:szCs w:val="24"/>
        </w:rPr>
        <w:t xml:space="preserve"> is an electronic incident command system that allows organizations to plan for, respond to, and recover from an incident. The platform allows for streamlined incident management, standardized communication, and automated workflows. </w:t>
      </w:r>
    </w:p>
    <w:p w14:paraId="4DEE6C3B" w14:textId="77777777" w:rsidR="001D73D2" w:rsidRPr="006979DA" w:rsidRDefault="001D73D2"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Logistics</w:t>
      </w:r>
    </w:p>
    <w:p w14:paraId="1D9F0F99" w14:textId="77777777" w:rsidR="003D7C78" w:rsidRPr="00B63BBA" w:rsidRDefault="003D7C78" w:rsidP="00B63BBA">
      <w:pPr>
        <w:spacing w:after="0" w:line="240" w:lineRule="auto"/>
        <w:rPr>
          <w:rFonts w:ascii="Times New Roman" w:hAnsi="Times New Roman" w:cs="Times New Roman"/>
          <w:i/>
          <w:iCs/>
          <w:sz w:val="24"/>
          <w:szCs w:val="24"/>
        </w:rPr>
      </w:pPr>
      <w:r w:rsidRPr="00B63BBA">
        <w:rPr>
          <w:rFonts w:ascii="Times New Roman" w:hAnsi="Times New Roman" w:cs="Times New Roman"/>
          <w:i/>
          <w:iCs/>
          <w:sz w:val="24"/>
          <w:szCs w:val="24"/>
        </w:rPr>
        <w:t>Space</w:t>
      </w:r>
    </w:p>
    <w:p w14:paraId="7F92C99F" w14:textId="2B74B4BA" w:rsidR="003D7C78" w:rsidRPr="00B63BBA" w:rsidRDefault="003D7C78" w:rsidP="00B63BBA">
      <w:pPr>
        <w:pStyle w:val="ListParagraph"/>
        <w:numPr>
          <w:ilvl w:val="0"/>
          <w:numId w:val="37"/>
        </w:numPr>
        <w:spacing w:after="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This section should briefly document regional hospital decontamination capabilities including the number of decontamination stations</w:t>
      </w:r>
      <w:r w:rsidR="00FC20B0">
        <w:rPr>
          <w:rFonts w:ascii="Times New Roman" w:hAnsi="Times New Roman" w:cs="Times New Roman"/>
          <w:sz w:val="24"/>
          <w:szCs w:val="24"/>
          <w:highlight w:val="yellow"/>
        </w:rPr>
        <w:t xml:space="preserve"> and </w:t>
      </w:r>
      <w:r w:rsidRPr="00B63BBA">
        <w:rPr>
          <w:rFonts w:ascii="Times New Roman" w:hAnsi="Times New Roman" w:cs="Times New Roman"/>
          <w:sz w:val="24"/>
          <w:szCs w:val="24"/>
          <w:highlight w:val="yellow"/>
        </w:rPr>
        <w:t xml:space="preserve">showers (fixed or temporary) and estimated throughput per hour. </w:t>
      </w:r>
    </w:p>
    <w:p w14:paraId="1F5E5E7F" w14:textId="14651F0A" w:rsidR="003D7C78" w:rsidRPr="00B63BBA" w:rsidRDefault="003D7C78" w:rsidP="00B63BBA">
      <w:pPr>
        <w:pStyle w:val="ListParagraph"/>
        <w:numPr>
          <w:ilvl w:val="0"/>
          <w:numId w:val="37"/>
        </w:numPr>
        <w:spacing w:after="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This section should also briefly outline community decontamination capabilities, including mobile assets (</w:t>
      </w:r>
      <w:r w:rsidR="00CF3B39">
        <w:rPr>
          <w:rFonts w:ascii="Times New Roman" w:hAnsi="Times New Roman" w:cs="Times New Roman"/>
          <w:sz w:val="24"/>
          <w:szCs w:val="24"/>
          <w:highlight w:val="yellow"/>
        </w:rPr>
        <w:t>for example</w:t>
      </w:r>
      <w:r w:rsidRPr="00B63BBA">
        <w:rPr>
          <w:rFonts w:ascii="Times New Roman" w:hAnsi="Times New Roman" w:cs="Times New Roman"/>
          <w:sz w:val="24"/>
          <w:szCs w:val="24"/>
          <w:highlight w:val="yellow"/>
        </w:rPr>
        <w:t>, fire</w:t>
      </w:r>
      <w:r w:rsidR="00CF3B39">
        <w:rPr>
          <w:rFonts w:ascii="Times New Roman" w:hAnsi="Times New Roman" w:cs="Times New Roman"/>
          <w:sz w:val="24"/>
          <w:szCs w:val="24"/>
          <w:highlight w:val="yellow"/>
        </w:rPr>
        <w:t xml:space="preserve"> and </w:t>
      </w:r>
      <w:r w:rsidRPr="00B63BBA">
        <w:rPr>
          <w:rFonts w:ascii="Times New Roman" w:hAnsi="Times New Roman" w:cs="Times New Roman"/>
          <w:sz w:val="24"/>
          <w:szCs w:val="24"/>
          <w:highlight w:val="yellow"/>
        </w:rPr>
        <w:t>rescue), potential community sites for mass decontamination (including who controls and/or approves site use and activation), and may consider including additional information such as regional specialty resources for chemical burn care.</w:t>
      </w:r>
    </w:p>
    <w:p w14:paraId="5B460575" w14:textId="77777777" w:rsidR="003D7C78" w:rsidRPr="00B63BBA" w:rsidRDefault="003D7C78" w:rsidP="00B63BBA">
      <w:pPr>
        <w:spacing w:after="0" w:line="240" w:lineRule="auto"/>
        <w:rPr>
          <w:rFonts w:ascii="Times New Roman" w:hAnsi="Times New Roman" w:cs="Times New Roman"/>
          <w:i/>
          <w:iCs/>
          <w:sz w:val="24"/>
          <w:szCs w:val="24"/>
        </w:rPr>
      </w:pPr>
      <w:r w:rsidRPr="00B63BBA">
        <w:rPr>
          <w:rFonts w:ascii="Times New Roman" w:hAnsi="Times New Roman" w:cs="Times New Roman"/>
          <w:i/>
          <w:iCs/>
          <w:sz w:val="24"/>
          <w:szCs w:val="24"/>
        </w:rPr>
        <w:t>Staff</w:t>
      </w:r>
    </w:p>
    <w:p w14:paraId="5CD21D04" w14:textId="77777777" w:rsidR="003D7C78" w:rsidRPr="00B63BBA" w:rsidRDefault="003D7C78" w:rsidP="00B63BBA">
      <w:pPr>
        <w:pStyle w:val="ListParagraph"/>
        <w:numPr>
          <w:ilvl w:val="0"/>
          <w:numId w:val="37"/>
        </w:numPr>
        <w:spacing w:after="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 xml:space="preserve">This section should outline the expectations for initial and supplemental hospital decontamination teams and staffing. The usual staffing augmentation plans should apply as per the base plan, including use of supplemental staff. </w:t>
      </w:r>
    </w:p>
    <w:p w14:paraId="50610D6C" w14:textId="06648553" w:rsidR="002550BC" w:rsidRPr="00B63BBA" w:rsidRDefault="003D7C78" w:rsidP="00B63BBA">
      <w:pPr>
        <w:pStyle w:val="ListParagraph"/>
        <w:numPr>
          <w:ilvl w:val="0"/>
          <w:numId w:val="37"/>
        </w:numPr>
        <w:spacing w:after="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This section should also briefly outline fire</w:t>
      </w:r>
      <w:r w:rsidR="00CF3B39">
        <w:rPr>
          <w:rFonts w:ascii="Times New Roman" w:hAnsi="Times New Roman" w:cs="Times New Roman"/>
          <w:sz w:val="24"/>
          <w:szCs w:val="24"/>
          <w:highlight w:val="yellow"/>
        </w:rPr>
        <w:t xml:space="preserve"> and </w:t>
      </w:r>
      <w:r w:rsidRPr="00B63BBA">
        <w:rPr>
          <w:rFonts w:ascii="Times New Roman" w:hAnsi="Times New Roman" w:cs="Times New Roman"/>
          <w:sz w:val="24"/>
          <w:szCs w:val="24"/>
          <w:highlight w:val="yellow"/>
        </w:rPr>
        <w:t xml:space="preserve">rescue assets that could support a hospital decontamination surge and include information on how they can be requested (if not occupied at the site). </w:t>
      </w:r>
    </w:p>
    <w:p w14:paraId="3A6A9CD1" w14:textId="595B6797" w:rsidR="002550BC" w:rsidRPr="00B63BBA" w:rsidRDefault="003D7C78" w:rsidP="00B63BBA">
      <w:pPr>
        <w:pStyle w:val="ListParagraph"/>
        <w:numPr>
          <w:ilvl w:val="0"/>
          <w:numId w:val="35"/>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Consider including information on regional chemical information and response assets that may be needed (</w:t>
      </w:r>
      <w:r w:rsidR="00CF3B39">
        <w:rPr>
          <w:rFonts w:ascii="Times New Roman" w:hAnsi="Times New Roman" w:cs="Times New Roman"/>
          <w:sz w:val="24"/>
          <w:szCs w:val="24"/>
          <w:highlight w:val="yellow"/>
        </w:rPr>
        <w:t>for example</w:t>
      </w:r>
      <w:r w:rsidRPr="00B63BBA">
        <w:rPr>
          <w:rFonts w:ascii="Times New Roman" w:hAnsi="Times New Roman" w:cs="Times New Roman"/>
          <w:sz w:val="24"/>
          <w:szCs w:val="24"/>
          <w:highlight w:val="yellow"/>
        </w:rPr>
        <w:t xml:space="preserve">, HAZMAT safety officers, toxicologists, poison control, industry hygienists, or CST). </w:t>
      </w:r>
    </w:p>
    <w:p w14:paraId="025C0176" w14:textId="364CC692" w:rsidR="003D7C78" w:rsidRPr="00B63BBA" w:rsidRDefault="003D7C78" w:rsidP="00B63BBA">
      <w:pPr>
        <w:pStyle w:val="ListParagraph"/>
        <w:numPr>
          <w:ilvl w:val="0"/>
          <w:numId w:val="35"/>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Consider how regional Hazardous Materials Safety Assistance Teams (HMSAT), the Agency for Toxic Substances and Disease Registry (ATSDR) emergency response teams, or environmental health agency assets can be integrated and/or utilized (if available).</w:t>
      </w:r>
    </w:p>
    <w:p w14:paraId="39976E5C" w14:textId="47A74F9B" w:rsidR="003D7C78" w:rsidRPr="00B63BBA" w:rsidRDefault="003D7C78" w:rsidP="00B63BBA">
      <w:pPr>
        <w:spacing w:after="0" w:line="240" w:lineRule="auto"/>
        <w:rPr>
          <w:rFonts w:ascii="Times New Roman" w:hAnsi="Times New Roman" w:cs="Times New Roman"/>
          <w:i/>
          <w:iCs/>
          <w:sz w:val="24"/>
          <w:szCs w:val="24"/>
        </w:rPr>
      </w:pPr>
      <w:r w:rsidRPr="00B63BBA">
        <w:rPr>
          <w:rFonts w:ascii="Times New Roman" w:hAnsi="Times New Roman" w:cs="Times New Roman"/>
          <w:i/>
          <w:iCs/>
          <w:sz w:val="24"/>
          <w:szCs w:val="24"/>
        </w:rPr>
        <w:t xml:space="preserve">Supplies </w:t>
      </w:r>
    </w:p>
    <w:p w14:paraId="1EB0BEBF" w14:textId="22A1ECAA" w:rsidR="003D7C78" w:rsidRPr="00B63BBA" w:rsidRDefault="003D7C78" w:rsidP="00B63BBA">
      <w:pPr>
        <w:spacing w:after="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This section should summarize the equipment and resource expectations of member health</w:t>
      </w:r>
      <w:r w:rsidR="00B63BBA">
        <w:rPr>
          <w:rFonts w:ascii="Times New Roman" w:hAnsi="Times New Roman" w:cs="Times New Roman"/>
          <w:sz w:val="24"/>
          <w:szCs w:val="24"/>
          <w:highlight w:val="yellow"/>
        </w:rPr>
        <w:t xml:space="preserve"> </w:t>
      </w:r>
      <w:r w:rsidRPr="00B63BBA">
        <w:rPr>
          <w:rFonts w:ascii="Times New Roman" w:hAnsi="Times New Roman" w:cs="Times New Roman"/>
          <w:sz w:val="24"/>
          <w:szCs w:val="24"/>
          <w:highlight w:val="yellow"/>
        </w:rPr>
        <w:t xml:space="preserve">care facilities relevant to a chemical incident, and coalition-level strategies to ensure adequate supply </w:t>
      </w:r>
      <w:r w:rsidRPr="00B63BBA">
        <w:rPr>
          <w:rFonts w:ascii="Times New Roman" w:hAnsi="Times New Roman" w:cs="Times New Roman"/>
          <w:sz w:val="24"/>
          <w:szCs w:val="24"/>
          <w:highlight w:val="yellow"/>
        </w:rPr>
        <w:lastRenderedPageBreak/>
        <w:t>levels and availability. This section should include coalition-level resource inventory management strategies for accessing, mobilizing, storing, and distributing specialized supplies as relevant (</w:t>
      </w:r>
      <w:r w:rsidR="00CF3B39">
        <w:rPr>
          <w:rFonts w:ascii="Times New Roman" w:hAnsi="Times New Roman" w:cs="Times New Roman"/>
          <w:sz w:val="24"/>
          <w:szCs w:val="24"/>
          <w:highlight w:val="yellow"/>
        </w:rPr>
        <w:t>for example</w:t>
      </w:r>
      <w:r w:rsidRPr="00B63BBA">
        <w:rPr>
          <w:rFonts w:ascii="Times New Roman" w:hAnsi="Times New Roman" w:cs="Times New Roman"/>
          <w:sz w:val="24"/>
          <w:szCs w:val="24"/>
          <w:highlight w:val="yellow"/>
        </w:rPr>
        <w:t xml:space="preserve">, CHEMPACK). This section should: </w:t>
      </w:r>
    </w:p>
    <w:p w14:paraId="7D9265AD" w14:textId="77777777" w:rsidR="003D7C78" w:rsidRPr="00B63BBA" w:rsidRDefault="003D7C78" w:rsidP="00B63BBA">
      <w:pPr>
        <w:pStyle w:val="ListParagraph"/>
        <w:numPr>
          <w:ilvl w:val="0"/>
          <w:numId w:val="33"/>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 xml:space="preserve">Document baseline chemical PPE for EMS and hospitals in the coalition as appropriate per previously listed assumptions. </w:t>
      </w:r>
    </w:p>
    <w:p w14:paraId="745388D8" w14:textId="3901034F" w:rsidR="003D7C78" w:rsidRPr="00B63BBA" w:rsidRDefault="003D7C78" w:rsidP="00B63BBA">
      <w:pPr>
        <w:pStyle w:val="ListParagraph"/>
        <w:numPr>
          <w:ilvl w:val="0"/>
          <w:numId w:val="33"/>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Define baseline preparedness threshold levels of supplies for hospitals as appropriate (</w:t>
      </w:r>
      <w:r w:rsidR="00CF3B39">
        <w:rPr>
          <w:rFonts w:ascii="Times New Roman" w:hAnsi="Times New Roman" w:cs="Times New Roman"/>
          <w:sz w:val="24"/>
          <w:szCs w:val="24"/>
          <w:highlight w:val="yellow"/>
        </w:rPr>
        <w:t>for example</w:t>
      </w:r>
      <w:r w:rsidRPr="00B63BBA">
        <w:rPr>
          <w:rFonts w:ascii="Times New Roman" w:hAnsi="Times New Roman" w:cs="Times New Roman"/>
          <w:sz w:val="24"/>
          <w:szCs w:val="24"/>
          <w:highlight w:val="yellow"/>
        </w:rPr>
        <w:t xml:space="preserve">, PPE, countermeasures) and/or list the locations and contents of hospital-based caches. </w:t>
      </w:r>
    </w:p>
    <w:p w14:paraId="43B5AEFE" w14:textId="77777777" w:rsidR="003D7C78" w:rsidRPr="00B63BBA" w:rsidRDefault="003D7C78" w:rsidP="00B63BBA">
      <w:pPr>
        <w:pStyle w:val="ListParagraph"/>
        <w:numPr>
          <w:ilvl w:val="0"/>
          <w:numId w:val="33"/>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 xml:space="preserve">Define baseline EMS agency supply expectations for HAZMAT response and patient treatment. </w:t>
      </w:r>
    </w:p>
    <w:p w14:paraId="2C072F1A" w14:textId="76E8C776" w:rsidR="003D7C78" w:rsidRPr="00B63BBA" w:rsidRDefault="003D7C78" w:rsidP="00B63BBA">
      <w:pPr>
        <w:pStyle w:val="ListParagraph"/>
        <w:numPr>
          <w:ilvl w:val="0"/>
          <w:numId w:val="33"/>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List current local or state countermeasure</w:t>
      </w:r>
      <w:r w:rsidR="00CF3B39">
        <w:rPr>
          <w:rFonts w:ascii="Times New Roman" w:hAnsi="Times New Roman" w:cs="Times New Roman"/>
          <w:sz w:val="24"/>
          <w:szCs w:val="24"/>
          <w:highlight w:val="yellow"/>
        </w:rPr>
        <w:t xml:space="preserve"> and </w:t>
      </w:r>
      <w:r w:rsidRPr="00B63BBA">
        <w:rPr>
          <w:rFonts w:ascii="Times New Roman" w:hAnsi="Times New Roman" w:cs="Times New Roman"/>
          <w:sz w:val="24"/>
          <w:szCs w:val="24"/>
          <w:highlight w:val="yellow"/>
        </w:rPr>
        <w:t xml:space="preserve">stockpile data relevant to your area. </w:t>
      </w:r>
    </w:p>
    <w:p w14:paraId="2AA6B058" w14:textId="3199B069" w:rsidR="003D7C78" w:rsidRPr="00B63BBA" w:rsidRDefault="003D7C78" w:rsidP="00B63BBA">
      <w:pPr>
        <w:pStyle w:val="ListParagraph"/>
        <w:numPr>
          <w:ilvl w:val="0"/>
          <w:numId w:val="33"/>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Ensure stockpile</w:t>
      </w:r>
      <w:r w:rsidR="00CF3B39">
        <w:rPr>
          <w:rFonts w:ascii="Times New Roman" w:hAnsi="Times New Roman" w:cs="Times New Roman"/>
          <w:sz w:val="24"/>
          <w:szCs w:val="24"/>
          <w:highlight w:val="yellow"/>
        </w:rPr>
        <w:t xml:space="preserve"> and </w:t>
      </w:r>
      <w:r w:rsidRPr="00B63BBA">
        <w:rPr>
          <w:rFonts w:ascii="Times New Roman" w:hAnsi="Times New Roman" w:cs="Times New Roman"/>
          <w:sz w:val="24"/>
          <w:szCs w:val="24"/>
          <w:highlight w:val="yellow"/>
        </w:rPr>
        <w:t>materials release, distribution, replenishment, and sharing policies are clear (</w:t>
      </w:r>
      <w:r w:rsidR="00CF3B39">
        <w:rPr>
          <w:rFonts w:ascii="Times New Roman" w:hAnsi="Times New Roman" w:cs="Times New Roman"/>
          <w:sz w:val="24"/>
          <w:szCs w:val="24"/>
          <w:highlight w:val="yellow"/>
        </w:rPr>
        <w:t>for example</w:t>
      </w:r>
      <w:r w:rsidRPr="00B63BBA">
        <w:rPr>
          <w:rFonts w:ascii="Times New Roman" w:hAnsi="Times New Roman" w:cs="Times New Roman"/>
          <w:sz w:val="24"/>
          <w:szCs w:val="24"/>
          <w:highlight w:val="yellow"/>
        </w:rPr>
        <w:t xml:space="preserve">, who gets what, when, and how). </w:t>
      </w:r>
    </w:p>
    <w:p w14:paraId="57C7E6C6" w14:textId="77777777" w:rsidR="003D7C78" w:rsidRPr="00B63BBA" w:rsidRDefault="003D7C78" w:rsidP="00B63BBA">
      <w:pPr>
        <w:pStyle w:val="ListParagraph"/>
        <w:numPr>
          <w:ilvl w:val="0"/>
          <w:numId w:val="33"/>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 xml:space="preserve">Include plans and protocol for accessing and distributing CHEMPACK resources. Ensure the coalition is familiar with how to engage the state to make additional requests. </w:t>
      </w:r>
    </w:p>
    <w:p w14:paraId="2AED2CB9" w14:textId="701180F6" w:rsidR="003D7C78" w:rsidRPr="00B63BBA" w:rsidRDefault="003D7C78" w:rsidP="00B63BBA">
      <w:pPr>
        <w:pStyle w:val="ListParagraph"/>
        <w:numPr>
          <w:ilvl w:val="0"/>
          <w:numId w:val="33"/>
        </w:numPr>
        <w:spacing w:after="160" w:line="240" w:lineRule="auto"/>
        <w:rPr>
          <w:rFonts w:ascii="Times New Roman" w:hAnsi="Times New Roman" w:cs="Times New Roman"/>
          <w:sz w:val="24"/>
          <w:szCs w:val="24"/>
          <w:highlight w:val="yellow"/>
        </w:rPr>
      </w:pPr>
      <w:r w:rsidRPr="00B63BBA">
        <w:rPr>
          <w:rFonts w:ascii="Times New Roman" w:hAnsi="Times New Roman" w:cs="Times New Roman"/>
          <w:sz w:val="24"/>
          <w:szCs w:val="24"/>
          <w:highlight w:val="yellow"/>
        </w:rPr>
        <w:t>Document additional decontamination supplies (</w:t>
      </w:r>
      <w:r w:rsidR="00CF3B39">
        <w:rPr>
          <w:rFonts w:ascii="Times New Roman" w:hAnsi="Times New Roman" w:cs="Times New Roman"/>
          <w:sz w:val="24"/>
          <w:szCs w:val="24"/>
          <w:highlight w:val="yellow"/>
        </w:rPr>
        <w:t>for example</w:t>
      </w:r>
      <w:r w:rsidRPr="00B63BBA">
        <w:rPr>
          <w:rFonts w:ascii="Times New Roman" w:hAnsi="Times New Roman" w:cs="Times New Roman"/>
          <w:sz w:val="24"/>
          <w:szCs w:val="24"/>
          <w:highlight w:val="yellow"/>
        </w:rPr>
        <w:t>, dry decontamination kits, wet decontamination equipment, privacy shelters, containment materials).</w:t>
      </w:r>
    </w:p>
    <w:p w14:paraId="73B78D67" w14:textId="0166B47E" w:rsidR="001D73D2" w:rsidRPr="006979DA" w:rsidRDefault="001D73D2"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 xml:space="preserve">Special </w:t>
      </w:r>
      <w:r w:rsidR="00B63BBA">
        <w:rPr>
          <w:rFonts w:ascii="Times New Roman" w:hAnsi="Times New Roman" w:cs="Times New Roman"/>
          <w:b/>
          <w:bCs/>
          <w:color w:val="auto"/>
        </w:rPr>
        <w:t>c</w:t>
      </w:r>
      <w:r w:rsidRPr="006979DA">
        <w:rPr>
          <w:rFonts w:ascii="Times New Roman" w:hAnsi="Times New Roman" w:cs="Times New Roman"/>
          <w:b/>
          <w:bCs/>
          <w:color w:val="auto"/>
        </w:rPr>
        <w:t>onsiderations</w:t>
      </w:r>
    </w:p>
    <w:p w14:paraId="2A95CCE8" w14:textId="69F5436D" w:rsidR="001D73D2" w:rsidRPr="00B63BBA" w:rsidRDefault="001D73D2" w:rsidP="00B63BBA">
      <w:pPr>
        <w:spacing w:after="0" w:line="240" w:lineRule="auto"/>
        <w:rPr>
          <w:rFonts w:ascii="Times New Roman" w:hAnsi="Times New Roman" w:cs="Times New Roman"/>
          <w:i/>
          <w:iCs/>
          <w:sz w:val="24"/>
          <w:szCs w:val="24"/>
        </w:rPr>
      </w:pPr>
      <w:r w:rsidRPr="00B63BBA">
        <w:rPr>
          <w:rFonts w:ascii="Times New Roman" w:hAnsi="Times New Roman" w:cs="Times New Roman"/>
          <w:i/>
          <w:iCs/>
          <w:sz w:val="24"/>
          <w:szCs w:val="24"/>
        </w:rPr>
        <w:t xml:space="preserve">Access and </w:t>
      </w:r>
      <w:r w:rsidR="00EF21B8" w:rsidRPr="00B63BBA">
        <w:rPr>
          <w:rFonts w:ascii="Times New Roman" w:hAnsi="Times New Roman" w:cs="Times New Roman"/>
          <w:i/>
          <w:iCs/>
          <w:sz w:val="24"/>
          <w:szCs w:val="24"/>
        </w:rPr>
        <w:t xml:space="preserve">functional needs/mental and behavioral health </w:t>
      </w:r>
    </w:p>
    <w:p w14:paraId="4FE2B2B4" w14:textId="6A8D4EE2" w:rsidR="001D73D2" w:rsidRPr="006979DA" w:rsidRDefault="001D73D2" w:rsidP="00B63BBA">
      <w:pPr>
        <w:pStyle w:val="ListParagraph"/>
        <w:numPr>
          <w:ilvl w:val="0"/>
          <w:numId w:val="30"/>
        </w:numPr>
        <w:spacing w:after="160" w:line="240" w:lineRule="auto"/>
        <w:rPr>
          <w:rFonts w:ascii="Times New Roman" w:hAnsi="Times New Roman" w:cs="Times New Roman"/>
          <w:sz w:val="24"/>
          <w:szCs w:val="24"/>
        </w:rPr>
      </w:pPr>
      <w:r w:rsidRPr="006979DA">
        <w:rPr>
          <w:rFonts w:ascii="Times New Roman" w:hAnsi="Times New Roman" w:cs="Times New Roman"/>
          <w:sz w:val="24"/>
          <w:szCs w:val="24"/>
        </w:rPr>
        <w:t>Patients with behavioral health and/or access and functional needs are supported by resources of EMS and hospitals as needed. EMS agencies and hospital facilities should train and prepare to care for these patient populations. These resources include considerations for providing culturally competent services and services through the lens of trauma</w:t>
      </w:r>
      <w:r w:rsidR="005D37D5">
        <w:rPr>
          <w:rFonts w:ascii="Times New Roman" w:hAnsi="Times New Roman" w:cs="Times New Roman"/>
          <w:sz w:val="24"/>
          <w:szCs w:val="24"/>
        </w:rPr>
        <w:t>-</w:t>
      </w:r>
      <w:r w:rsidRPr="006979DA">
        <w:rPr>
          <w:rFonts w:ascii="Times New Roman" w:hAnsi="Times New Roman" w:cs="Times New Roman"/>
          <w:sz w:val="24"/>
          <w:szCs w:val="24"/>
        </w:rPr>
        <w:t>informed care.</w:t>
      </w:r>
    </w:p>
    <w:p w14:paraId="46EE75BD" w14:textId="77777777" w:rsidR="001D73D2" w:rsidRPr="006979DA" w:rsidRDefault="001D73D2" w:rsidP="00B63BBA">
      <w:pPr>
        <w:pStyle w:val="ListParagraph"/>
        <w:numPr>
          <w:ilvl w:val="0"/>
          <w:numId w:val="30"/>
        </w:numPr>
        <w:spacing w:after="160" w:line="240" w:lineRule="auto"/>
        <w:rPr>
          <w:rFonts w:ascii="Times New Roman" w:hAnsi="Times New Roman" w:cs="Times New Roman"/>
          <w:sz w:val="24"/>
          <w:szCs w:val="24"/>
        </w:rPr>
      </w:pPr>
      <w:r w:rsidRPr="006979DA">
        <w:rPr>
          <w:rFonts w:ascii="Times New Roman" w:hAnsi="Times New Roman" w:cs="Times New Roman"/>
          <w:sz w:val="24"/>
          <w:szCs w:val="24"/>
        </w:rPr>
        <w:t xml:space="preserve">Call lines may be established to support mental health coordination needs during and following an incident. This resource may be used to support primary care systems which may experience a surge for mental health support following an incident. </w:t>
      </w:r>
    </w:p>
    <w:p w14:paraId="45279F0A" w14:textId="18EF9BCF" w:rsidR="001D73D2" w:rsidRPr="006979DA" w:rsidRDefault="001D73D2" w:rsidP="00B63BBA">
      <w:pPr>
        <w:pStyle w:val="ListParagraph"/>
        <w:numPr>
          <w:ilvl w:val="0"/>
          <w:numId w:val="30"/>
        </w:numPr>
        <w:spacing w:after="160" w:line="240" w:lineRule="auto"/>
        <w:rPr>
          <w:rFonts w:ascii="Times New Roman" w:hAnsi="Times New Roman" w:cs="Times New Roman"/>
          <w:sz w:val="24"/>
          <w:szCs w:val="24"/>
        </w:rPr>
      </w:pPr>
      <w:r w:rsidRPr="006979DA">
        <w:rPr>
          <w:rFonts w:ascii="Times New Roman" w:hAnsi="Times New Roman" w:cs="Times New Roman"/>
          <w:sz w:val="24"/>
          <w:szCs w:val="24"/>
        </w:rPr>
        <w:t>Efforts are taken and supported by Wisconsin state organizations</w:t>
      </w:r>
      <w:r w:rsidR="005D37D5">
        <w:rPr>
          <w:rFonts w:ascii="Times New Roman" w:hAnsi="Times New Roman" w:cs="Times New Roman"/>
          <w:sz w:val="24"/>
          <w:szCs w:val="24"/>
        </w:rPr>
        <w:t>—</w:t>
      </w:r>
      <w:r w:rsidRPr="006979DA">
        <w:rPr>
          <w:rFonts w:ascii="Times New Roman" w:hAnsi="Times New Roman" w:cs="Times New Roman"/>
          <w:sz w:val="24"/>
          <w:szCs w:val="24"/>
        </w:rPr>
        <w:t>such as the Department of Children and Families, Office of Children’s Mental Health, and Resilient Wisconsin</w:t>
      </w:r>
      <w:r w:rsidR="005D37D5">
        <w:rPr>
          <w:rFonts w:ascii="Times New Roman" w:hAnsi="Times New Roman" w:cs="Times New Roman"/>
          <w:sz w:val="24"/>
          <w:szCs w:val="24"/>
        </w:rPr>
        <w:t>—</w:t>
      </w:r>
      <w:r w:rsidRPr="006979DA">
        <w:rPr>
          <w:rFonts w:ascii="Times New Roman" w:hAnsi="Times New Roman" w:cs="Times New Roman"/>
          <w:sz w:val="24"/>
          <w:szCs w:val="24"/>
        </w:rPr>
        <w:t>to provide mental health support and family support services</w:t>
      </w:r>
      <w:r w:rsidR="00EF21B8">
        <w:rPr>
          <w:rFonts w:ascii="Times New Roman" w:hAnsi="Times New Roman" w:cs="Times New Roman"/>
          <w:sz w:val="24"/>
          <w:szCs w:val="24"/>
        </w:rPr>
        <w:t>.</w:t>
      </w:r>
    </w:p>
    <w:p w14:paraId="1C0D1222" w14:textId="77777777" w:rsidR="001D73D2" w:rsidRPr="006979DA" w:rsidRDefault="001D73D2" w:rsidP="00B63BBA">
      <w:pPr>
        <w:pStyle w:val="ListParagraph"/>
        <w:numPr>
          <w:ilvl w:val="0"/>
          <w:numId w:val="30"/>
        </w:numPr>
        <w:spacing w:line="240" w:lineRule="auto"/>
        <w:rPr>
          <w:rFonts w:ascii="Times New Roman" w:hAnsi="Times New Roman" w:cs="Times New Roman"/>
          <w:sz w:val="24"/>
          <w:szCs w:val="24"/>
        </w:rPr>
      </w:pPr>
      <w:r w:rsidRPr="006979DA">
        <w:rPr>
          <w:rFonts w:ascii="Times New Roman" w:hAnsi="Times New Roman" w:cs="Times New Roman"/>
          <w:sz w:val="24"/>
          <w:szCs w:val="24"/>
        </w:rPr>
        <w:t xml:space="preserve">Family reception and reunification centers provide local mental and behavioral health services. </w:t>
      </w:r>
    </w:p>
    <w:p w14:paraId="3C7D717A" w14:textId="52DA5965" w:rsidR="001D73D2" w:rsidRPr="006979DA" w:rsidRDefault="001D73D2" w:rsidP="00B63BBA">
      <w:pPr>
        <w:pStyle w:val="ListParagraph"/>
        <w:numPr>
          <w:ilvl w:val="0"/>
          <w:numId w:val="30"/>
        </w:numPr>
        <w:spacing w:line="240" w:lineRule="auto"/>
        <w:rPr>
          <w:rFonts w:ascii="Times New Roman" w:hAnsi="Times New Roman" w:cs="Times New Roman"/>
          <w:sz w:val="24"/>
          <w:szCs w:val="24"/>
        </w:rPr>
      </w:pPr>
      <w:r w:rsidRPr="006979DA">
        <w:rPr>
          <w:rFonts w:ascii="Times New Roman" w:hAnsi="Times New Roman" w:cs="Times New Roman"/>
          <w:sz w:val="24"/>
          <w:szCs w:val="24"/>
        </w:rPr>
        <w:t xml:space="preserve">Crisis counseling is available from the </w:t>
      </w:r>
      <w:hyperlink r:id="rId13" w:history="1">
        <w:r w:rsidR="00CB3605">
          <w:rPr>
            <w:rStyle w:val="Hyperlink"/>
            <w:rFonts w:ascii="Times New Roman" w:hAnsi="Times New Roman" w:cs="Times New Roman"/>
            <w:sz w:val="24"/>
            <w:szCs w:val="24"/>
          </w:rPr>
          <w:t>SAMHSA grant</w:t>
        </w:r>
      </w:hyperlink>
      <w:r w:rsidRPr="006979DA">
        <w:rPr>
          <w:rFonts w:ascii="Times New Roman" w:hAnsi="Times New Roman" w:cs="Times New Roman"/>
          <w:sz w:val="24"/>
          <w:szCs w:val="24"/>
        </w:rPr>
        <w:t xml:space="preserve"> following the declaration of a disaster as part of the Wisconsin Community Action Program (CAP). There are also trained permanent crisis counselors in CAP and other non-profit organizations that supplement social services and can be placed without the </w:t>
      </w:r>
      <w:r w:rsidR="00CB3605" w:rsidRPr="006979DA">
        <w:rPr>
          <w:rFonts w:ascii="Times New Roman" w:hAnsi="Times New Roman" w:cs="Times New Roman"/>
          <w:sz w:val="24"/>
          <w:szCs w:val="24"/>
        </w:rPr>
        <w:t>SAMHSA</w:t>
      </w:r>
      <w:r w:rsidRPr="006979DA">
        <w:rPr>
          <w:rFonts w:ascii="Times New Roman" w:hAnsi="Times New Roman" w:cs="Times New Roman"/>
          <w:sz w:val="24"/>
          <w:szCs w:val="24"/>
        </w:rPr>
        <w:t xml:space="preserve"> grant.</w:t>
      </w:r>
    </w:p>
    <w:p w14:paraId="337727F8" w14:textId="77777777" w:rsidR="001D73D2" w:rsidRPr="006979DA" w:rsidRDefault="001D73D2" w:rsidP="00B63BBA">
      <w:pPr>
        <w:pStyle w:val="ListParagraph"/>
        <w:numPr>
          <w:ilvl w:val="0"/>
          <w:numId w:val="30"/>
        </w:numPr>
        <w:spacing w:line="240" w:lineRule="auto"/>
        <w:rPr>
          <w:rFonts w:ascii="Times New Roman" w:hAnsi="Times New Roman" w:cs="Times New Roman"/>
          <w:sz w:val="24"/>
          <w:szCs w:val="24"/>
        </w:rPr>
      </w:pPr>
      <w:r w:rsidRPr="006979DA">
        <w:rPr>
          <w:rFonts w:ascii="Times New Roman" w:hAnsi="Times New Roman" w:cs="Times New Roman"/>
          <w:sz w:val="24"/>
          <w:szCs w:val="24"/>
        </w:rPr>
        <w:t>There are ongoing efforts to improve health care worker resiliency by offering mental health trainings and debriefing sessions.</w:t>
      </w:r>
    </w:p>
    <w:p w14:paraId="7D4515FA" w14:textId="5FA4CD5E" w:rsidR="001D73D2" w:rsidRPr="006E56D5" w:rsidRDefault="001D73D2" w:rsidP="00B63BBA">
      <w:pPr>
        <w:spacing w:after="0" w:line="240" w:lineRule="auto"/>
        <w:rPr>
          <w:rFonts w:ascii="Times New Roman" w:hAnsi="Times New Roman" w:cs="Times New Roman"/>
          <w:b/>
          <w:bCs/>
          <w:sz w:val="26"/>
          <w:szCs w:val="26"/>
        </w:rPr>
      </w:pPr>
      <w:r w:rsidRPr="006E56D5">
        <w:rPr>
          <w:rFonts w:ascii="Times New Roman" w:hAnsi="Times New Roman" w:cs="Times New Roman"/>
          <w:b/>
          <w:bCs/>
          <w:sz w:val="26"/>
          <w:szCs w:val="26"/>
        </w:rPr>
        <w:t xml:space="preserve">Combined </w:t>
      </w:r>
      <w:r w:rsidR="00B63BBA">
        <w:rPr>
          <w:rFonts w:ascii="Times New Roman" w:hAnsi="Times New Roman" w:cs="Times New Roman"/>
          <w:b/>
          <w:bCs/>
          <w:sz w:val="26"/>
          <w:szCs w:val="26"/>
        </w:rPr>
        <w:t>i</w:t>
      </w:r>
      <w:r w:rsidRPr="006E56D5">
        <w:rPr>
          <w:rFonts w:ascii="Times New Roman" w:hAnsi="Times New Roman" w:cs="Times New Roman"/>
          <w:b/>
          <w:bCs/>
          <w:sz w:val="26"/>
          <w:szCs w:val="26"/>
        </w:rPr>
        <w:t>njuries</w:t>
      </w:r>
    </w:p>
    <w:p w14:paraId="5E69238F" w14:textId="77777777" w:rsidR="001D73D2" w:rsidRPr="006979DA" w:rsidRDefault="001D73D2" w:rsidP="00B63BBA">
      <w:pPr>
        <w:spacing w:line="240" w:lineRule="auto"/>
        <w:rPr>
          <w:rFonts w:ascii="Times New Roman" w:hAnsi="Times New Roman" w:cs="Times New Roman"/>
          <w:sz w:val="24"/>
          <w:szCs w:val="24"/>
        </w:rPr>
      </w:pPr>
      <w:r w:rsidRPr="006979DA">
        <w:rPr>
          <w:rFonts w:ascii="Times New Roman" w:hAnsi="Times New Roman" w:cs="Times New Roman"/>
          <w:sz w:val="24"/>
          <w:szCs w:val="24"/>
        </w:rPr>
        <w:t xml:space="preserve">Combined injuries can be any combination of traumatic, burn, radiological, and/or chemical injury in adults or pediatrics. Combined injuries significantly increase the mortality of patients and are better served at trauma and specialized centers depending on the severity. </w:t>
      </w:r>
    </w:p>
    <w:p w14:paraId="02861C04" w14:textId="77777777" w:rsidR="001D73D2" w:rsidRPr="006979DA" w:rsidRDefault="001D73D2" w:rsidP="00B63BBA">
      <w:pPr>
        <w:spacing w:line="240" w:lineRule="auto"/>
        <w:rPr>
          <w:rFonts w:ascii="Times New Roman" w:hAnsi="Times New Roman" w:cs="Times New Roman"/>
          <w:i/>
          <w:iCs/>
        </w:rPr>
      </w:pPr>
      <w:r w:rsidRPr="006979DA">
        <w:rPr>
          <w:rFonts w:ascii="Times New Roman" w:hAnsi="Times New Roman" w:cs="Times New Roman"/>
          <w:sz w:val="24"/>
          <w:szCs w:val="24"/>
        </w:rPr>
        <w:lastRenderedPageBreak/>
        <w:t xml:space="preserve">Triage done by EMS on site of the incident is conducted by traditional trauma triage guidelines. </w:t>
      </w:r>
      <w:r w:rsidRPr="00CB3605">
        <w:rPr>
          <w:rFonts w:ascii="Times New Roman" w:hAnsi="Times New Roman" w:cs="Times New Roman"/>
          <w:i/>
          <w:iCs/>
          <w:sz w:val="24"/>
          <w:szCs w:val="24"/>
        </w:rPr>
        <w:t xml:space="preserve">The </w:t>
      </w:r>
      <w:r w:rsidRPr="00CB3605">
        <w:rPr>
          <w:rFonts w:ascii="Times New Roman" w:hAnsi="Times New Roman" w:cs="Times New Roman"/>
          <w:i/>
          <w:iCs/>
        </w:rPr>
        <w:t>lesser</w:t>
      </w:r>
      <w:r w:rsidRPr="006979DA">
        <w:rPr>
          <w:rFonts w:ascii="Times New Roman" w:hAnsi="Times New Roman" w:cs="Times New Roman"/>
          <w:i/>
          <w:iCs/>
        </w:rPr>
        <w:t xml:space="preserve"> of the combined injuries are considered during a secondary triage conducted by a hospital.</w:t>
      </w:r>
    </w:p>
    <w:p w14:paraId="11376ECD" w14:textId="66B574A9" w:rsidR="00C22765" w:rsidRPr="006979DA" w:rsidRDefault="00C22765"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Training</w:t>
      </w:r>
      <w:bookmarkEnd w:id="16"/>
      <w:bookmarkEnd w:id="17"/>
    </w:p>
    <w:p w14:paraId="36FBFBBD" w14:textId="77777777" w:rsidR="001D73D2" w:rsidRPr="006979DA" w:rsidRDefault="001D73D2" w:rsidP="00B63BBA">
      <w:pPr>
        <w:spacing w:line="240" w:lineRule="auto"/>
        <w:rPr>
          <w:rFonts w:ascii="Times New Roman" w:hAnsi="Times New Roman" w:cs="Times New Roman"/>
          <w:sz w:val="24"/>
          <w:szCs w:val="24"/>
        </w:rPr>
      </w:pPr>
      <w:r w:rsidRPr="006979DA">
        <w:rPr>
          <w:rFonts w:ascii="Times New Roman" w:hAnsi="Times New Roman" w:cs="Times New Roman"/>
          <w:sz w:val="24"/>
          <w:szCs w:val="24"/>
        </w:rPr>
        <w:t>Hospitals, EMS, and other first responder agencies should have plans and conduct trainings for the management of mass casualty incidents.</w:t>
      </w:r>
    </w:p>
    <w:p w14:paraId="7BF54B89" w14:textId="3B39219A" w:rsidR="001D73D2" w:rsidRPr="006979DA" w:rsidRDefault="001D73D2" w:rsidP="00B63BBA">
      <w:pPr>
        <w:spacing w:after="0" w:line="240" w:lineRule="auto"/>
        <w:rPr>
          <w:rFonts w:ascii="Times New Roman" w:hAnsi="Times New Roman" w:cs="Times New Roman"/>
          <w:sz w:val="24"/>
          <w:szCs w:val="24"/>
        </w:rPr>
      </w:pPr>
      <w:r w:rsidRPr="006979DA">
        <w:rPr>
          <w:rFonts w:ascii="Times New Roman" w:hAnsi="Times New Roman" w:cs="Times New Roman"/>
          <w:sz w:val="24"/>
          <w:szCs w:val="24"/>
        </w:rPr>
        <w:t xml:space="preserve">It is recommended that leadership of hospitals, EMS, and first responder agencies review their organization’s need for chemical </w:t>
      </w:r>
      <w:r w:rsidR="00CB3605">
        <w:rPr>
          <w:rFonts w:ascii="Times New Roman" w:hAnsi="Times New Roman" w:cs="Times New Roman"/>
          <w:sz w:val="24"/>
          <w:szCs w:val="24"/>
        </w:rPr>
        <w:t>HAZMAT</w:t>
      </w:r>
      <w:r w:rsidRPr="006979DA">
        <w:rPr>
          <w:rFonts w:ascii="Times New Roman" w:hAnsi="Times New Roman" w:cs="Times New Roman"/>
          <w:sz w:val="24"/>
          <w:szCs w:val="24"/>
        </w:rPr>
        <w:t>-specific training. The following courses are educational resources for radiation surge and disaster events</w:t>
      </w:r>
      <w:r w:rsidR="008C3225">
        <w:rPr>
          <w:rFonts w:ascii="Times New Roman" w:hAnsi="Times New Roman" w:cs="Times New Roman"/>
          <w:sz w:val="24"/>
          <w:szCs w:val="24"/>
        </w:rPr>
        <w:t>:</w:t>
      </w:r>
      <w:r w:rsidRPr="006979DA">
        <w:rPr>
          <w:rFonts w:ascii="Times New Roman" w:hAnsi="Times New Roman" w:cs="Times New Roman"/>
          <w:sz w:val="24"/>
          <w:szCs w:val="24"/>
        </w:rPr>
        <w:t xml:space="preserve"> </w:t>
      </w:r>
    </w:p>
    <w:p w14:paraId="0C5FCAB9" w14:textId="73B9EFA9" w:rsidR="001D73D2" w:rsidRPr="006979DA" w:rsidRDefault="00000000" w:rsidP="00B63BBA">
      <w:pPr>
        <w:pStyle w:val="ListParagraph"/>
        <w:numPr>
          <w:ilvl w:val="0"/>
          <w:numId w:val="31"/>
        </w:numPr>
        <w:spacing w:after="160" w:line="240" w:lineRule="auto"/>
        <w:rPr>
          <w:rStyle w:val="Hyperlink"/>
          <w:rFonts w:ascii="Times New Roman" w:hAnsi="Times New Roman" w:cs="Times New Roman"/>
          <w:sz w:val="24"/>
          <w:szCs w:val="24"/>
        </w:rPr>
      </w:pPr>
      <w:hyperlink r:id="rId14" w:history="1">
        <w:r w:rsidR="00E86CE3">
          <w:rPr>
            <w:rStyle w:val="Hyperlink"/>
            <w:rFonts w:ascii="Times New Roman" w:hAnsi="Times New Roman" w:cs="Times New Roman"/>
            <w:sz w:val="24"/>
            <w:szCs w:val="24"/>
          </w:rPr>
          <w:t>Advanced HAZMAT Life Support (AHLS)</w:t>
        </w:r>
      </w:hyperlink>
    </w:p>
    <w:p w14:paraId="51F0C9BD" w14:textId="6F19EE5A" w:rsidR="001D73D2" w:rsidRPr="006979DA" w:rsidRDefault="00000000" w:rsidP="00B63BBA">
      <w:pPr>
        <w:pStyle w:val="ListParagraph"/>
        <w:numPr>
          <w:ilvl w:val="0"/>
          <w:numId w:val="31"/>
        </w:numPr>
        <w:spacing w:after="160" w:line="240" w:lineRule="auto"/>
        <w:rPr>
          <w:rFonts w:ascii="Times New Roman" w:hAnsi="Times New Roman" w:cs="Times New Roman"/>
          <w:sz w:val="24"/>
          <w:szCs w:val="24"/>
        </w:rPr>
      </w:pPr>
      <w:hyperlink r:id="rId15" w:history="1">
        <w:r w:rsidR="00CB3605">
          <w:rPr>
            <w:rStyle w:val="Hyperlink"/>
            <w:rFonts w:ascii="Times New Roman" w:hAnsi="Times New Roman" w:cs="Times New Roman"/>
            <w:sz w:val="24"/>
            <w:szCs w:val="24"/>
          </w:rPr>
          <w:t>Hospital Emergency Response Training</w:t>
        </w:r>
      </w:hyperlink>
      <w:r w:rsidR="001D73D2" w:rsidRPr="006979DA">
        <w:rPr>
          <w:rFonts w:ascii="Times New Roman" w:hAnsi="Times New Roman" w:cs="Times New Roman"/>
          <w:sz w:val="24"/>
          <w:szCs w:val="24"/>
        </w:rPr>
        <w:t xml:space="preserve"> </w:t>
      </w:r>
    </w:p>
    <w:p w14:paraId="6F9A571F" w14:textId="77777777" w:rsidR="001D73D2" w:rsidRPr="006979DA" w:rsidRDefault="001D73D2"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Tracking</w:t>
      </w:r>
    </w:p>
    <w:p w14:paraId="0F0D23FF" w14:textId="778A54DD" w:rsidR="001D73D2" w:rsidRPr="006979DA" w:rsidRDefault="001D73D2" w:rsidP="00B63BBA">
      <w:pPr>
        <w:spacing w:line="240" w:lineRule="auto"/>
        <w:rPr>
          <w:rFonts w:ascii="Times New Roman" w:hAnsi="Times New Roman" w:cs="Times New Roman"/>
          <w:sz w:val="24"/>
          <w:szCs w:val="24"/>
        </w:rPr>
      </w:pPr>
      <w:r w:rsidRPr="006979DA">
        <w:rPr>
          <w:rFonts w:ascii="Times New Roman" w:hAnsi="Times New Roman" w:cs="Times New Roman"/>
          <w:sz w:val="24"/>
          <w:szCs w:val="24"/>
        </w:rPr>
        <w:t>Tracking and reunification efforts are conducted by EMS, hospitals, and local officials. Mass casualty tracking and reunification efforts may not be needed for every incident. However, the use of tracking platforms</w:t>
      </w:r>
      <w:r w:rsidR="00CB3605">
        <w:rPr>
          <w:rFonts w:ascii="Times New Roman" w:hAnsi="Times New Roman" w:cs="Times New Roman"/>
          <w:sz w:val="24"/>
          <w:szCs w:val="24"/>
        </w:rPr>
        <w:t xml:space="preserve">, </w:t>
      </w:r>
      <w:r w:rsidRPr="006979DA">
        <w:rPr>
          <w:rFonts w:ascii="Times New Roman" w:hAnsi="Times New Roman" w:cs="Times New Roman"/>
          <w:sz w:val="24"/>
          <w:szCs w:val="24"/>
        </w:rPr>
        <w:t xml:space="preserve">such as </w:t>
      </w:r>
      <w:proofErr w:type="spellStart"/>
      <w:r w:rsidRPr="006979DA">
        <w:rPr>
          <w:rFonts w:ascii="Times New Roman" w:hAnsi="Times New Roman" w:cs="Times New Roman"/>
          <w:sz w:val="24"/>
          <w:szCs w:val="24"/>
        </w:rPr>
        <w:t>EMTrack</w:t>
      </w:r>
      <w:proofErr w:type="spellEnd"/>
      <w:r w:rsidR="00CB3605">
        <w:rPr>
          <w:rFonts w:ascii="Times New Roman" w:hAnsi="Times New Roman" w:cs="Times New Roman"/>
          <w:sz w:val="24"/>
          <w:szCs w:val="24"/>
        </w:rPr>
        <w:t xml:space="preserve">, </w:t>
      </w:r>
      <w:r w:rsidRPr="006979DA">
        <w:rPr>
          <w:rFonts w:ascii="Times New Roman" w:hAnsi="Times New Roman" w:cs="Times New Roman"/>
          <w:sz w:val="24"/>
          <w:szCs w:val="24"/>
        </w:rPr>
        <w:t xml:space="preserve">may still be used. </w:t>
      </w:r>
    </w:p>
    <w:p w14:paraId="062A9820" w14:textId="7AD25C9D" w:rsidR="001D73D2" w:rsidRPr="006979DA" w:rsidRDefault="00CB3605" w:rsidP="00B63BBA">
      <w:pPr>
        <w:spacing w:line="240" w:lineRule="auto"/>
        <w:rPr>
          <w:rFonts w:ascii="Times New Roman" w:hAnsi="Times New Roman" w:cs="Times New Roman"/>
          <w:sz w:val="24"/>
          <w:szCs w:val="24"/>
        </w:rPr>
      </w:pPr>
      <w:r>
        <w:rPr>
          <w:rFonts w:ascii="Times New Roman" w:hAnsi="Times New Roman" w:cs="Times New Roman"/>
          <w:sz w:val="24"/>
          <w:szCs w:val="24"/>
        </w:rPr>
        <w:t xml:space="preserve">Wisconsin Admin. Code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w:t>
      </w:r>
      <w:r w:rsidRPr="00360557">
        <w:rPr>
          <w:rFonts w:ascii="Times New Roman" w:hAnsi="Times New Roman" w:cs="Times New Roman"/>
          <w:sz w:val="24"/>
          <w:szCs w:val="24"/>
        </w:rPr>
        <w:t xml:space="preserve">DHS 110 </w:t>
      </w:r>
      <w:r w:rsidR="001D73D2" w:rsidRPr="006979DA">
        <w:rPr>
          <w:rFonts w:ascii="Times New Roman" w:hAnsi="Times New Roman" w:cs="Times New Roman"/>
          <w:sz w:val="24"/>
          <w:szCs w:val="24"/>
        </w:rPr>
        <w:t xml:space="preserve">requires EMS agencies to have a mass casualty plan that includes a mechanism for patient tracking. The </w:t>
      </w:r>
      <w:proofErr w:type="spellStart"/>
      <w:r w:rsidR="001D73D2" w:rsidRPr="006979DA">
        <w:rPr>
          <w:rFonts w:ascii="Times New Roman" w:hAnsi="Times New Roman" w:cs="Times New Roman"/>
          <w:sz w:val="24"/>
          <w:szCs w:val="24"/>
        </w:rPr>
        <w:t>EMTrack</w:t>
      </w:r>
      <w:proofErr w:type="spellEnd"/>
      <w:r w:rsidR="001D73D2" w:rsidRPr="006979DA">
        <w:rPr>
          <w:rFonts w:ascii="Times New Roman" w:hAnsi="Times New Roman" w:cs="Times New Roman"/>
          <w:sz w:val="24"/>
          <w:szCs w:val="24"/>
        </w:rPr>
        <w:t xml:space="preserve"> platform is recommended for use, however, agencies may use any alternative means of tracking that includes real time situational awareness </w:t>
      </w:r>
      <w:proofErr w:type="gramStart"/>
      <w:r w:rsidR="001D73D2" w:rsidRPr="006979DA">
        <w:rPr>
          <w:rFonts w:ascii="Times New Roman" w:hAnsi="Times New Roman" w:cs="Times New Roman"/>
          <w:sz w:val="24"/>
          <w:szCs w:val="24"/>
        </w:rPr>
        <w:t>in order to</w:t>
      </w:r>
      <w:proofErr w:type="gramEnd"/>
      <w:r w:rsidR="001D73D2" w:rsidRPr="006979DA">
        <w:rPr>
          <w:rFonts w:ascii="Times New Roman" w:hAnsi="Times New Roman" w:cs="Times New Roman"/>
          <w:sz w:val="24"/>
          <w:szCs w:val="24"/>
        </w:rPr>
        <w:t xml:space="preserve"> assist other partners who are involved in reunification efforts.</w:t>
      </w:r>
    </w:p>
    <w:p w14:paraId="2B1AB6BA" w14:textId="77777777" w:rsidR="001D73D2" w:rsidRPr="006979DA" w:rsidRDefault="001D73D2" w:rsidP="00B63BBA">
      <w:pPr>
        <w:spacing w:line="240" w:lineRule="auto"/>
        <w:rPr>
          <w:rFonts w:ascii="Times New Roman" w:hAnsi="Times New Roman" w:cs="Times New Roman"/>
          <w:sz w:val="24"/>
          <w:szCs w:val="24"/>
        </w:rPr>
      </w:pPr>
      <w:proofErr w:type="spellStart"/>
      <w:r w:rsidRPr="006979DA">
        <w:rPr>
          <w:rFonts w:ascii="Times New Roman" w:hAnsi="Times New Roman" w:cs="Times New Roman"/>
          <w:sz w:val="24"/>
          <w:szCs w:val="24"/>
        </w:rPr>
        <w:t>EMTrack</w:t>
      </w:r>
      <w:proofErr w:type="spellEnd"/>
      <w:r w:rsidRPr="006979DA">
        <w:rPr>
          <w:rFonts w:ascii="Times New Roman" w:hAnsi="Times New Roman" w:cs="Times New Roman"/>
          <w:sz w:val="24"/>
          <w:szCs w:val="24"/>
        </w:rPr>
        <w:t xml:space="preserve"> may be used by EMS, hospitals, and local officials for patient tracking. Patient information is entered into the system by providers and allows for approved administrators to track where patients are located during planned or unplanned events. </w:t>
      </w:r>
    </w:p>
    <w:p w14:paraId="3AE0D2C4" w14:textId="7BF85366" w:rsidR="001D73D2" w:rsidRPr="006979DA" w:rsidRDefault="001D73D2" w:rsidP="00B63BBA">
      <w:pPr>
        <w:spacing w:line="240" w:lineRule="auto"/>
        <w:rPr>
          <w:rFonts w:ascii="Times New Roman" w:hAnsi="Times New Roman" w:cs="Times New Roman"/>
          <w:sz w:val="24"/>
          <w:szCs w:val="24"/>
        </w:rPr>
      </w:pPr>
      <w:r w:rsidRPr="006979DA">
        <w:rPr>
          <w:rFonts w:ascii="Times New Roman" w:hAnsi="Times New Roman" w:cs="Times New Roman"/>
          <w:sz w:val="24"/>
          <w:szCs w:val="24"/>
        </w:rPr>
        <w:t xml:space="preserve">Reunification can be conducted at a hospital or local reunification center. Hospitals and </w:t>
      </w:r>
      <w:r w:rsidR="00CB3605">
        <w:rPr>
          <w:rFonts w:ascii="Times New Roman" w:hAnsi="Times New Roman" w:cs="Times New Roman"/>
          <w:sz w:val="24"/>
          <w:szCs w:val="24"/>
        </w:rPr>
        <w:t>LTHDs</w:t>
      </w:r>
      <w:r w:rsidRPr="006979DA">
        <w:rPr>
          <w:rFonts w:ascii="Times New Roman" w:hAnsi="Times New Roman" w:cs="Times New Roman"/>
          <w:sz w:val="24"/>
          <w:szCs w:val="24"/>
        </w:rPr>
        <w:t xml:space="preserve"> follow their own procedures for properly sharing patient information with loved ones.</w:t>
      </w:r>
    </w:p>
    <w:p w14:paraId="5E0270D5" w14:textId="77777777" w:rsidR="001D73D2" w:rsidRPr="006979DA" w:rsidRDefault="001D73D2"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Deactivation</w:t>
      </w:r>
    </w:p>
    <w:p w14:paraId="62A1A5F4" w14:textId="19CADCC7" w:rsidR="006979DA" w:rsidRPr="006979DA" w:rsidRDefault="006979DA" w:rsidP="00B63BBA">
      <w:pPr>
        <w:pStyle w:val="NoSpacing"/>
        <w:rPr>
          <w:rFonts w:ascii="Times New Roman" w:hAnsi="Times New Roman" w:cs="Times New Roman"/>
          <w:sz w:val="24"/>
          <w:szCs w:val="24"/>
        </w:rPr>
      </w:pPr>
      <w:r w:rsidRPr="006979DA">
        <w:rPr>
          <w:rFonts w:ascii="Times New Roman" w:hAnsi="Times New Roman" w:cs="Times New Roman"/>
          <w:sz w:val="24"/>
          <w:szCs w:val="24"/>
        </w:rPr>
        <w:t xml:space="preserve">The deactivation of this annex occurs when the incident de-escalates to a point when hospitals are no longer experiencing or forecasting chemical </w:t>
      </w:r>
      <w:r w:rsidR="00F91E7D">
        <w:rPr>
          <w:rFonts w:ascii="Times New Roman" w:hAnsi="Times New Roman" w:cs="Times New Roman"/>
          <w:sz w:val="24"/>
          <w:szCs w:val="24"/>
        </w:rPr>
        <w:t>HAZMAT-</w:t>
      </w:r>
      <w:r w:rsidRPr="006979DA">
        <w:rPr>
          <w:rFonts w:ascii="Times New Roman" w:hAnsi="Times New Roman" w:cs="Times New Roman"/>
          <w:sz w:val="24"/>
          <w:szCs w:val="24"/>
        </w:rPr>
        <w:t>related medical surge.</w:t>
      </w:r>
    </w:p>
    <w:p w14:paraId="6E687627" w14:textId="307E31CD" w:rsidR="006979DA" w:rsidRPr="006979DA" w:rsidRDefault="006979DA" w:rsidP="00B63BBA">
      <w:pPr>
        <w:pStyle w:val="NoSpacing"/>
        <w:numPr>
          <w:ilvl w:val="0"/>
          <w:numId w:val="29"/>
        </w:numPr>
        <w:rPr>
          <w:rFonts w:ascii="Times New Roman" w:hAnsi="Times New Roman" w:cs="Times New Roman"/>
          <w:sz w:val="24"/>
          <w:szCs w:val="24"/>
        </w:rPr>
      </w:pPr>
      <w:r w:rsidRPr="006979DA">
        <w:rPr>
          <w:rFonts w:ascii="Times New Roman" w:hAnsi="Times New Roman" w:cs="Times New Roman"/>
          <w:b/>
          <w:bCs/>
          <w:sz w:val="24"/>
          <w:szCs w:val="24"/>
        </w:rPr>
        <w:t>Responsible party</w:t>
      </w:r>
      <w:r w:rsidRPr="006979DA">
        <w:rPr>
          <w:rFonts w:ascii="Times New Roman" w:hAnsi="Times New Roman" w:cs="Times New Roman"/>
          <w:sz w:val="24"/>
          <w:szCs w:val="24"/>
        </w:rPr>
        <w:t>: The official deactivation of the regional annex is conducted by the HERC in consultation with hospitals, the LTHD, and OPEHC.</w:t>
      </w:r>
    </w:p>
    <w:p w14:paraId="3889A151" w14:textId="77777777" w:rsidR="006979DA" w:rsidRPr="006979DA" w:rsidRDefault="006979DA" w:rsidP="00B63BBA">
      <w:pPr>
        <w:pStyle w:val="NoSpacing"/>
        <w:numPr>
          <w:ilvl w:val="0"/>
          <w:numId w:val="29"/>
        </w:numPr>
        <w:rPr>
          <w:rFonts w:ascii="Times New Roman" w:hAnsi="Times New Roman" w:cs="Times New Roman"/>
          <w:sz w:val="24"/>
          <w:szCs w:val="24"/>
        </w:rPr>
      </w:pPr>
      <w:r w:rsidRPr="006979DA">
        <w:rPr>
          <w:rFonts w:ascii="Times New Roman" w:hAnsi="Times New Roman" w:cs="Times New Roman"/>
          <w:b/>
          <w:bCs/>
          <w:sz w:val="24"/>
          <w:szCs w:val="24"/>
        </w:rPr>
        <w:t>After action operations</w:t>
      </w:r>
      <w:r w:rsidRPr="006979DA">
        <w:rPr>
          <w:rFonts w:ascii="Times New Roman" w:hAnsi="Times New Roman" w:cs="Times New Roman"/>
          <w:sz w:val="24"/>
          <w:szCs w:val="24"/>
        </w:rPr>
        <w:t xml:space="preserve">: Upon deactivation, the incident may </w:t>
      </w:r>
      <w:proofErr w:type="gramStart"/>
      <w:r w:rsidRPr="006979DA">
        <w:rPr>
          <w:rFonts w:ascii="Times New Roman" w:hAnsi="Times New Roman" w:cs="Times New Roman"/>
          <w:sz w:val="24"/>
          <w:szCs w:val="24"/>
        </w:rPr>
        <w:t>still continue</w:t>
      </w:r>
      <w:proofErr w:type="gramEnd"/>
      <w:r w:rsidRPr="006979DA">
        <w:rPr>
          <w:rFonts w:ascii="Times New Roman" w:hAnsi="Times New Roman" w:cs="Times New Roman"/>
          <w:sz w:val="24"/>
          <w:szCs w:val="24"/>
        </w:rPr>
        <w:t xml:space="preserve"> at what is considered a normal operational level.</w:t>
      </w:r>
    </w:p>
    <w:p w14:paraId="6153D7EC" w14:textId="2ED14D2E" w:rsidR="001D73D2" w:rsidRPr="00CB3605" w:rsidRDefault="006979DA" w:rsidP="00B63BBA">
      <w:pPr>
        <w:pStyle w:val="NoSpacing"/>
        <w:numPr>
          <w:ilvl w:val="0"/>
          <w:numId w:val="29"/>
        </w:numPr>
        <w:rPr>
          <w:rFonts w:ascii="Times New Roman" w:hAnsi="Times New Roman" w:cs="Times New Roman"/>
          <w:sz w:val="24"/>
          <w:szCs w:val="24"/>
        </w:rPr>
      </w:pPr>
      <w:r w:rsidRPr="006979DA">
        <w:rPr>
          <w:rFonts w:ascii="Times New Roman" w:hAnsi="Times New Roman" w:cs="Times New Roman"/>
          <w:b/>
          <w:bCs/>
          <w:sz w:val="24"/>
          <w:szCs w:val="24"/>
        </w:rPr>
        <w:t>After action review</w:t>
      </w:r>
      <w:r w:rsidRPr="006979DA">
        <w:rPr>
          <w:rFonts w:ascii="Times New Roman" w:hAnsi="Times New Roman" w:cs="Times New Roman"/>
          <w:sz w:val="24"/>
          <w:szCs w:val="24"/>
        </w:rPr>
        <w:t>: Following deactivation, a review of the incident is conducted to inform future planning and training needs.</w:t>
      </w:r>
    </w:p>
    <w:p w14:paraId="580CCD44" w14:textId="77777777" w:rsidR="00CB3605" w:rsidRDefault="00CB3605">
      <w:pPr>
        <w:spacing w:after="160" w:line="259" w:lineRule="auto"/>
        <w:rPr>
          <w:rFonts w:ascii="Times New Roman" w:eastAsiaTheme="majorEastAsia" w:hAnsi="Times New Roman" w:cs="Times New Roman"/>
          <w:b/>
          <w:bCs/>
          <w:sz w:val="32"/>
          <w:szCs w:val="32"/>
        </w:rPr>
      </w:pPr>
      <w:r>
        <w:rPr>
          <w:rFonts w:ascii="Times New Roman" w:eastAsiaTheme="majorEastAsia" w:hAnsi="Times New Roman" w:cs="Times New Roman"/>
          <w:b/>
          <w:bCs/>
          <w:sz w:val="32"/>
          <w:szCs w:val="32"/>
        </w:rPr>
        <w:br w:type="page"/>
      </w:r>
    </w:p>
    <w:p w14:paraId="688F5EC9" w14:textId="56500CED" w:rsidR="001D73D2" w:rsidRPr="006979DA" w:rsidRDefault="001D73D2" w:rsidP="00B63BBA">
      <w:pPr>
        <w:pBdr>
          <w:bottom w:val="single" w:sz="4" w:space="1" w:color="auto"/>
        </w:pBdr>
        <w:spacing w:after="0" w:line="240" w:lineRule="auto"/>
        <w:rPr>
          <w:rFonts w:ascii="Times New Roman" w:hAnsi="Times New Roman" w:cs="Times New Roman"/>
          <w:b/>
          <w:bCs/>
        </w:rPr>
      </w:pPr>
      <w:r w:rsidRPr="006979DA">
        <w:rPr>
          <w:rFonts w:ascii="Times New Roman" w:eastAsiaTheme="majorEastAsia" w:hAnsi="Times New Roman" w:cs="Times New Roman"/>
          <w:b/>
          <w:bCs/>
          <w:sz w:val="32"/>
          <w:szCs w:val="32"/>
        </w:rPr>
        <w:lastRenderedPageBreak/>
        <w:t>Appendices</w:t>
      </w:r>
    </w:p>
    <w:p w14:paraId="5F342DFE" w14:textId="77777777" w:rsidR="001D73D2" w:rsidRPr="006979DA" w:rsidRDefault="001D73D2"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Acronyms</w:t>
      </w:r>
    </w:p>
    <w:tbl>
      <w:tblPr>
        <w:tblStyle w:val="TableGrid"/>
        <w:tblW w:w="0" w:type="auto"/>
        <w:tblLook w:val="04A0" w:firstRow="1" w:lastRow="0" w:firstColumn="1" w:lastColumn="0" w:noHBand="0" w:noVBand="1"/>
      </w:tblPr>
      <w:tblGrid>
        <w:gridCol w:w="4675"/>
        <w:gridCol w:w="4675"/>
      </w:tblGrid>
      <w:tr w:rsidR="001D73D2" w:rsidRPr="006979DA" w14:paraId="43D8FEEE" w14:textId="77777777" w:rsidTr="00247FF6">
        <w:tc>
          <w:tcPr>
            <w:tcW w:w="4675" w:type="dxa"/>
          </w:tcPr>
          <w:p w14:paraId="6FD55578" w14:textId="77777777" w:rsidR="001D73D2" w:rsidRPr="006979DA" w:rsidRDefault="001D73D2" w:rsidP="00B63BBA">
            <w:pPr>
              <w:spacing w:line="240" w:lineRule="auto"/>
              <w:jc w:val="center"/>
              <w:rPr>
                <w:rFonts w:ascii="Times New Roman" w:hAnsi="Times New Roman" w:cs="Times New Roman"/>
                <w:b/>
                <w:bCs/>
              </w:rPr>
            </w:pPr>
            <w:r w:rsidRPr="006979DA">
              <w:rPr>
                <w:rFonts w:ascii="Times New Roman" w:hAnsi="Times New Roman" w:cs="Times New Roman"/>
                <w:b/>
                <w:bCs/>
              </w:rPr>
              <w:t>Acronym</w:t>
            </w:r>
          </w:p>
        </w:tc>
        <w:tc>
          <w:tcPr>
            <w:tcW w:w="4675" w:type="dxa"/>
          </w:tcPr>
          <w:p w14:paraId="663CC185" w14:textId="77777777" w:rsidR="001D73D2" w:rsidRPr="006979DA" w:rsidRDefault="001D73D2" w:rsidP="00B63BBA">
            <w:pPr>
              <w:spacing w:line="240" w:lineRule="auto"/>
              <w:jc w:val="center"/>
              <w:rPr>
                <w:rFonts w:ascii="Times New Roman" w:hAnsi="Times New Roman" w:cs="Times New Roman"/>
                <w:b/>
                <w:bCs/>
              </w:rPr>
            </w:pPr>
            <w:r w:rsidRPr="006979DA">
              <w:rPr>
                <w:rFonts w:ascii="Times New Roman" w:hAnsi="Times New Roman" w:cs="Times New Roman"/>
                <w:b/>
                <w:bCs/>
              </w:rPr>
              <w:t>Term</w:t>
            </w:r>
          </w:p>
        </w:tc>
      </w:tr>
      <w:tr w:rsidR="001D73D2" w:rsidRPr="006979DA" w14:paraId="4AF4BB35" w14:textId="77777777" w:rsidTr="00247FF6">
        <w:tc>
          <w:tcPr>
            <w:tcW w:w="4675" w:type="dxa"/>
          </w:tcPr>
          <w:p w14:paraId="76B8D4B6" w14:textId="77777777" w:rsidR="001D73D2" w:rsidRPr="006979DA" w:rsidRDefault="001D73D2" w:rsidP="00B63BBA">
            <w:pPr>
              <w:spacing w:line="240" w:lineRule="auto"/>
              <w:rPr>
                <w:rFonts w:ascii="Times New Roman" w:hAnsi="Times New Roman" w:cs="Times New Roman"/>
              </w:rPr>
            </w:pPr>
          </w:p>
        </w:tc>
        <w:tc>
          <w:tcPr>
            <w:tcW w:w="4675" w:type="dxa"/>
          </w:tcPr>
          <w:p w14:paraId="2BC54BAB" w14:textId="77777777" w:rsidR="001D73D2" w:rsidRPr="006979DA" w:rsidRDefault="001D73D2" w:rsidP="00B63BBA">
            <w:pPr>
              <w:spacing w:line="240" w:lineRule="auto"/>
              <w:rPr>
                <w:rFonts w:ascii="Times New Roman" w:hAnsi="Times New Roman" w:cs="Times New Roman"/>
              </w:rPr>
            </w:pPr>
          </w:p>
        </w:tc>
      </w:tr>
      <w:tr w:rsidR="001D73D2" w:rsidRPr="006979DA" w14:paraId="5B286E7D" w14:textId="77777777" w:rsidTr="00247FF6">
        <w:tc>
          <w:tcPr>
            <w:tcW w:w="4675" w:type="dxa"/>
          </w:tcPr>
          <w:p w14:paraId="29BEC329" w14:textId="77777777" w:rsidR="001D73D2" w:rsidRPr="006979DA" w:rsidRDefault="001D73D2" w:rsidP="00B63BBA">
            <w:pPr>
              <w:spacing w:line="240" w:lineRule="auto"/>
              <w:rPr>
                <w:rFonts w:ascii="Times New Roman" w:hAnsi="Times New Roman" w:cs="Times New Roman"/>
              </w:rPr>
            </w:pPr>
          </w:p>
        </w:tc>
        <w:tc>
          <w:tcPr>
            <w:tcW w:w="4675" w:type="dxa"/>
          </w:tcPr>
          <w:p w14:paraId="1651CCBF" w14:textId="77777777" w:rsidR="001D73D2" w:rsidRPr="006979DA" w:rsidRDefault="001D73D2" w:rsidP="00B63BBA">
            <w:pPr>
              <w:spacing w:line="240" w:lineRule="auto"/>
              <w:rPr>
                <w:rFonts w:ascii="Times New Roman" w:hAnsi="Times New Roman" w:cs="Times New Roman"/>
              </w:rPr>
            </w:pPr>
          </w:p>
        </w:tc>
      </w:tr>
    </w:tbl>
    <w:p w14:paraId="3923869B" w14:textId="77777777" w:rsidR="001D73D2" w:rsidRPr="006979DA" w:rsidRDefault="001D73D2" w:rsidP="00B63BBA">
      <w:pPr>
        <w:spacing w:line="240" w:lineRule="auto"/>
        <w:rPr>
          <w:rFonts w:ascii="Times New Roman" w:hAnsi="Times New Roman" w:cs="Times New Roman"/>
        </w:rPr>
      </w:pPr>
    </w:p>
    <w:p w14:paraId="22EFAFF1" w14:textId="16846AE1" w:rsidR="001D73D2" w:rsidRPr="006979DA" w:rsidRDefault="001D73D2" w:rsidP="00B63BBA">
      <w:pPr>
        <w:pStyle w:val="Heading2"/>
        <w:spacing w:line="240" w:lineRule="auto"/>
        <w:rPr>
          <w:rFonts w:ascii="Times New Roman" w:hAnsi="Times New Roman" w:cs="Times New Roman"/>
          <w:b/>
          <w:bCs/>
          <w:color w:val="auto"/>
        </w:rPr>
      </w:pPr>
      <w:r w:rsidRPr="006979DA">
        <w:rPr>
          <w:rFonts w:ascii="Times New Roman" w:hAnsi="Times New Roman" w:cs="Times New Roman"/>
          <w:b/>
          <w:bCs/>
          <w:color w:val="auto"/>
        </w:rPr>
        <w:t xml:space="preserve">Additional </w:t>
      </w:r>
      <w:r w:rsidR="00F91E7D">
        <w:rPr>
          <w:rFonts w:ascii="Times New Roman" w:hAnsi="Times New Roman" w:cs="Times New Roman"/>
          <w:b/>
          <w:bCs/>
          <w:color w:val="auto"/>
        </w:rPr>
        <w:t>r</w:t>
      </w:r>
      <w:r w:rsidRPr="006979DA">
        <w:rPr>
          <w:rFonts w:ascii="Times New Roman" w:hAnsi="Times New Roman" w:cs="Times New Roman"/>
          <w:b/>
          <w:bCs/>
          <w:color w:val="auto"/>
        </w:rPr>
        <w:t>esources</w:t>
      </w:r>
    </w:p>
    <w:p w14:paraId="603D7CE7" w14:textId="77777777" w:rsidR="001D73D2" w:rsidRPr="006979DA" w:rsidRDefault="001D73D2" w:rsidP="00B63BBA">
      <w:pPr>
        <w:spacing w:line="240" w:lineRule="auto"/>
        <w:rPr>
          <w:rFonts w:ascii="Times New Roman" w:hAnsi="Times New Roman" w:cs="Times New Roman"/>
        </w:rPr>
      </w:pPr>
      <w:r w:rsidRPr="006979DA">
        <w:rPr>
          <w:rFonts w:ascii="Times New Roman" w:hAnsi="Times New Roman" w:cs="Times New Roman"/>
          <w:highlight w:val="yellow"/>
        </w:rPr>
        <w:t>[links as seen fit]</w:t>
      </w:r>
    </w:p>
    <w:p w14:paraId="31ED8748" w14:textId="7104F022" w:rsidR="001D73D2" w:rsidRPr="006979DA" w:rsidRDefault="001D73D2" w:rsidP="00B63BBA">
      <w:pPr>
        <w:spacing w:after="0" w:line="240" w:lineRule="auto"/>
        <w:rPr>
          <w:rFonts w:ascii="Times New Roman" w:eastAsiaTheme="majorEastAsia" w:hAnsi="Times New Roman" w:cs="Times New Roman"/>
          <w:b/>
          <w:bCs/>
          <w:sz w:val="26"/>
          <w:szCs w:val="26"/>
        </w:rPr>
      </w:pPr>
      <w:r w:rsidRPr="006979DA">
        <w:rPr>
          <w:rFonts w:ascii="Times New Roman" w:eastAsiaTheme="majorEastAsia" w:hAnsi="Times New Roman" w:cs="Times New Roman"/>
          <w:b/>
          <w:bCs/>
          <w:sz w:val="26"/>
          <w:szCs w:val="26"/>
        </w:rPr>
        <w:t xml:space="preserve">Local </w:t>
      </w:r>
      <w:r w:rsidR="00F91E7D">
        <w:rPr>
          <w:rFonts w:ascii="Times New Roman" w:eastAsiaTheme="majorEastAsia" w:hAnsi="Times New Roman" w:cs="Times New Roman"/>
          <w:b/>
          <w:bCs/>
          <w:sz w:val="26"/>
          <w:szCs w:val="26"/>
        </w:rPr>
        <w:t>r</w:t>
      </w:r>
      <w:r w:rsidRPr="006979DA">
        <w:rPr>
          <w:rFonts w:ascii="Times New Roman" w:eastAsiaTheme="majorEastAsia" w:hAnsi="Times New Roman" w:cs="Times New Roman"/>
          <w:b/>
          <w:bCs/>
          <w:sz w:val="26"/>
          <w:szCs w:val="26"/>
        </w:rPr>
        <w:t>esponse</w:t>
      </w:r>
    </w:p>
    <w:p w14:paraId="006B9513" w14:textId="77777777" w:rsidR="001D73D2" w:rsidRPr="006979DA" w:rsidRDefault="001D73D2" w:rsidP="00B63BBA">
      <w:pPr>
        <w:spacing w:line="240" w:lineRule="auto"/>
        <w:rPr>
          <w:rFonts w:ascii="Times New Roman" w:hAnsi="Times New Roman" w:cs="Times New Roman"/>
          <w:highlight w:val="yellow"/>
        </w:rPr>
      </w:pPr>
      <w:r w:rsidRPr="006979DA">
        <w:rPr>
          <w:rFonts w:ascii="Times New Roman" w:hAnsi="Times New Roman" w:cs="Times New Roman"/>
          <w:highlight w:val="yellow"/>
        </w:rPr>
        <w:t>[flow chart of local response, if desired]</w:t>
      </w:r>
    </w:p>
    <w:p w14:paraId="4AABE5D9" w14:textId="77777777" w:rsidR="00C22765" w:rsidRPr="006979DA" w:rsidRDefault="00C22765" w:rsidP="00B63BBA">
      <w:pPr>
        <w:tabs>
          <w:tab w:val="left" w:pos="919"/>
        </w:tabs>
        <w:spacing w:line="240" w:lineRule="auto"/>
        <w:rPr>
          <w:rFonts w:ascii="Times New Roman" w:hAnsi="Times New Roman" w:cs="Times New Roman"/>
          <w:b/>
          <w:u w:val="single"/>
        </w:rPr>
      </w:pPr>
    </w:p>
    <w:sectPr w:rsidR="00C22765" w:rsidRPr="006979D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0B2E" w14:textId="77777777" w:rsidR="00680BDC" w:rsidRDefault="00680BDC">
      <w:pPr>
        <w:spacing w:after="0" w:line="240" w:lineRule="auto"/>
      </w:pPr>
      <w:r>
        <w:separator/>
      </w:r>
    </w:p>
  </w:endnote>
  <w:endnote w:type="continuationSeparator" w:id="0">
    <w:p w14:paraId="45F03C7C" w14:textId="77777777" w:rsidR="00680BDC" w:rsidRDefault="006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0F58" w14:textId="77777777" w:rsidR="002669D1" w:rsidRDefault="00266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A3A5" w14:textId="77777777" w:rsidR="002669D1" w:rsidRDefault="00266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EFA2" w14:textId="77777777" w:rsidR="002669D1" w:rsidRDefault="0026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83B6" w14:textId="77777777" w:rsidR="00680BDC" w:rsidRDefault="00680BDC">
      <w:pPr>
        <w:spacing w:after="0" w:line="240" w:lineRule="auto"/>
      </w:pPr>
      <w:r>
        <w:separator/>
      </w:r>
    </w:p>
  </w:footnote>
  <w:footnote w:type="continuationSeparator" w:id="0">
    <w:p w14:paraId="1011127B" w14:textId="77777777" w:rsidR="00680BDC" w:rsidRDefault="00680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BD78" w14:textId="3E6F2C29" w:rsidR="002669D1" w:rsidRDefault="00680BDC">
    <w:pPr>
      <w:pStyle w:val="Header"/>
    </w:pPr>
    <w:r>
      <w:rPr>
        <w:noProof/>
      </w:rPr>
      <w:pict w14:anchorId="49FDF8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9662"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5705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A089" w14:textId="1FB6F533" w:rsidR="002669D1" w:rsidRDefault="00680BDC">
    <w:pPr>
      <w:pStyle w:val="Header"/>
    </w:pPr>
    <w:r>
      <w:rPr>
        <w:noProof/>
      </w:rPr>
      <w:pict w14:anchorId="48E97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9663"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5705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996E" w14:textId="6351E4EB" w:rsidR="002669D1" w:rsidRDefault="00680BDC">
    <w:pPr>
      <w:pStyle w:val="Header"/>
    </w:pPr>
    <w:r>
      <w:rPr>
        <w:noProof/>
      </w:rPr>
      <w:pict w14:anchorId="57C80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09661"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5705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B67"/>
    <w:multiLevelType w:val="hybridMultilevel"/>
    <w:tmpl w:val="38AC9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62AE"/>
    <w:multiLevelType w:val="hybridMultilevel"/>
    <w:tmpl w:val="D97A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09E3"/>
    <w:multiLevelType w:val="hybridMultilevel"/>
    <w:tmpl w:val="2D56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228A"/>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B974CBF"/>
    <w:multiLevelType w:val="hybridMultilevel"/>
    <w:tmpl w:val="B05C5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C709B"/>
    <w:multiLevelType w:val="hybridMultilevel"/>
    <w:tmpl w:val="2736B736"/>
    <w:lvl w:ilvl="0" w:tplc="365CD02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04401"/>
    <w:multiLevelType w:val="hybridMultilevel"/>
    <w:tmpl w:val="13FC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2476C"/>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9057821"/>
    <w:multiLevelType w:val="multilevel"/>
    <w:tmpl w:val="59324B9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DE807E0"/>
    <w:multiLevelType w:val="hybridMultilevel"/>
    <w:tmpl w:val="06F4271A"/>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222A66E5"/>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68F6C81"/>
    <w:multiLevelType w:val="hybridMultilevel"/>
    <w:tmpl w:val="CBB6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B1026"/>
    <w:multiLevelType w:val="hybridMultilevel"/>
    <w:tmpl w:val="02E2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13A0B"/>
    <w:multiLevelType w:val="hybridMultilevel"/>
    <w:tmpl w:val="DCD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50F40"/>
    <w:multiLevelType w:val="hybridMultilevel"/>
    <w:tmpl w:val="7480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84F2F"/>
    <w:multiLevelType w:val="multilevel"/>
    <w:tmpl w:val="59324B9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0A0A45"/>
    <w:multiLevelType w:val="multilevel"/>
    <w:tmpl w:val="0FA0D4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3AA2610"/>
    <w:multiLevelType w:val="multilevel"/>
    <w:tmpl w:val="8FAC2FC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4367E26"/>
    <w:multiLevelType w:val="multilevel"/>
    <w:tmpl w:val="97E80F7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5297309"/>
    <w:multiLevelType w:val="hybridMultilevel"/>
    <w:tmpl w:val="E2F4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13F93"/>
    <w:multiLevelType w:val="hybridMultilevel"/>
    <w:tmpl w:val="6028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F67E0"/>
    <w:multiLevelType w:val="hybridMultilevel"/>
    <w:tmpl w:val="862E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813B8"/>
    <w:multiLevelType w:val="hybridMultilevel"/>
    <w:tmpl w:val="9AFAE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F1CBF"/>
    <w:multiLevelType w:val="hybridMultilevel"/>
    <w:tmpl w:val="50148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3FF2B55"/>
    <w:multiLevelType w:val="hybridMultilevel"/>
    <w:tmpl w:val="4016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261D8"/>
    <w:multiLevelType w:val="hybridMultilevel"/>
    <w:tmpl w:val="AC1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F356D"/>
    <w:multiLevelType w:val="hybridMultilevel"/>
    <w:tmpl w:val="B1F2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113BD"/>
    <w:multiLevelType w:val="hybridMultilevel"/>
    <w:tmpl w:val="DC0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01423"/>
    <w:multiLevelType w:val="hybridMultilevel"/>
    <w:tmpl w:val="7C2C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2082A"/>
    <w:multiLevelType w:val="hybridMultilevel"/>
    <w:tmpl w:val="D5A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A2FAA"/>
    <w:multiLevelType w:val="hybridMultilevel"/>
    <w:tmpl w:val="9DD2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11D9F"/>
    <w:multiLevelType w:val="hybridMultilevel"/>
    <w:tmpl w:val="CE72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43684"/>
    <w:multiLevelType w:val="hybridMultilevel"/>
    <w:tmpl w:val="644C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A312A"/>
    <w:multiLevelType w:val="hybridMultilevel"/>
    <w:tmpl w:val="CD9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5241D"/>
    <w:multiLevelType w:val="hybridMultilevel"/>
    <w:tmpl w:val="64069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B049DC"/>
    <w:multiLevelType w:val="hybridMultilevel"/>
    <w:tmpl w:val="A8C4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D1DF3"/>
    <w:multiLevelType w:val="hybridMultilevel"/>
    <w:tmpl w:val="F482C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692916">
    <w:abstractNumId w:val="6"/>
  </w:num>
  <w:num w:numId="2" w16cid:durableId="1974948001">
    <w:abstractNumId w:val="2"/>
  </w:num>
  <w:num w:numId="3" w16cid:durableId="1813794578">
    <w:abstractNumId w:val="31"/>
  </w:num>
  <w:num w:numId="4" w16cid:durableId="348410782">
    <w:abstractNumId w:val="27"/>
  </w:num>
  <w:num w:numId="5" w16cid:durableId="2091583889">
    <w:abstractNumId w:val="36"/>
  </w:num>
  <w:num w:numId="6" w16cid:durableId="237597282">
    <w:abstractNumId w:val="22"/>
  </w:num>
  <w:num w:numId="7" w16cid:durableId="1131897549">
    <w:abstractNumId w:val="26"/>
  </w:num>
  <w:num w:numId="8" w16cid:durableId="937785668">
    <w:abstractNumId w:val="9"/>
  </w:num>
  <w:num w:numId="9" w16cid:durableId="1928882752">
    <w:abstractNumId w:val="24"/>
  </w:num>
  <w:num w:numId="10" w16cid:durableId="2054386158">
    <w:abstractNumId w:val="3"/>
  </w:num>
  <w:num w:numId="11" w16cid:durableId="1785077160">
    <w:abstractNumId w:val="0"/>
  </w:num>
  <w:num w:numId="12" w16cid:durableId="941718992">
    <w:abstractNumId w:val="4"/>
  </w:num>
  <w:num w:numId="13" w16cid:durableId="300308025">
    <w:abstractNumId w:val="11"/>
  </w:num>
  <w:num w:numId="14" w16cid:durableId="1494487313">
    <w:abstractNumId w:val="19"/>
  </w:num>
  <w:num w:numId="15" w16cid:durableId="1827160625">
    <w:abstractNumId w:val="29"/>
  </w:num>
  <w:num w:numId="16" w16cid:durableId="529685873">
    <w:abstractNumId w:val="33"/>
  </w:num>
  <w:num w:numId="17" w16cid:durableId="965813670">
    <w:abstractNumId w:val="25"/>
  </w:num>
  <w:num w:numId="18" w16cid:durableId="1682513380">
    <w:abstractNumId w:val="18"/>
  </w:num>
  <w:num w:numId="19" w16cid:durableId="231159022">
    <w:abstractNumId w:val="7"/>
  </w:num>
  <w:num w:numId="20" w16cid:durableId="562718134">
    <w:abstractNumId w:val="10"/>
  </w:num>
  <w:num w:numId="21" w16cid:durableId="1217815556">
    <w:abstractNumId w:val="17"/>
  </w:num>
  <w:num w:numId="22" w16cid:durableId="1229339573">
    <w:abstractNumId w:val="8"/>
  </w:num>
  <w:num w:numId="23" w16cid:durableId="1493335107">
    <w:abstractNumId w:val="16"/>
  </w:num>
  <w:num w:numId="24" w16cid:durableId="644243570">
    <w:abstractNumId w:val="15"/>
  </w:num>
  <w:num w:numId="25" w16cid:durableId="1295597291">
    <w:abstractNumId w:val="23"/>
  </w:num>
  <w:num w:numId="26" w16cid:durableId="1522016600">
    <w:abstractNumId w:val="30"/>
  </w:num>
  <w:num w:numId="27" w16cid:durableId="603658133">
    <w:abstractNumId w:val="28"/>
  </w:num>
  <w:num w:numId="28" w16cid:durableId="1617102251">
    <w:abstractNumId w:val="32"/>
  </w:num>
  <w:num w:numId="29" w16cid:durableId="161547529">
    <w:abstractNumId w:val="35"/>
  </w:num>
  <w:num w:numId="30" w16cid:durableId="613830694">
    <w:abstractNumId w:val="1"/>
  </w:num>
  <w:num w:numId="31" w16cid:durableId="930893984">
    <w:abstractNumId w:val="5"/>
  </w:num>
  <w:num w:numId="32" w16cid:durableId="889878726">
    <w:abstractNumId w:val="21"/>
  </w:num>
  <w:num w:numId="33" w16cid:durableId="2050714871">
    <w:abstractNumId w:val="20"/>
  </w:num>
  <w:num w:numId="34" w16cid:durableId="840120220">
    <w:abstractNumId w:val="34"/>
  </w:num>
  <w:num w:numId="35" w16cid:durableId="496651120">
    <w:abstractNumId w:val="12"/>
  </w:num>
  <w:num w:numId="36" w16cid:durableId="154226628">
    <w:abstractNumId w:val="14"/>
  </w:num>
  <w:num w:numId="37" w16cid:durableId="66316883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7B"/>
    <w:rsid w:val="000350F3"/>
    <w:rsid w:val="000428A3"/>
    <w:rsid w:val="000576D1"/>
    <w:rsid w:val="001164D3"/>
    <w:rsid w:val="00122A52"/>
    <w:rsid w:val="00122F2F"/>
    <w:rsid w:val="00155DF9"/>
    <w:rsid w:val="001D73D2"/>
    <w:rsid w:val="002254E0"/>
    <w:rsid w:val="00231A6F"/>
    <w:rsid w:val="002550BC"/>
    <w:rsid w:val="00260A67"/>
    <w:rsid w:val="002669D1"/>
    <w:rsid w:val="002753DF"/>
    <w:rsid w:val="00296DE6"/>
    <w:rsid w:val="00304B36"/>
    <w:rsid w:val="003110DA"/>
    <w:rsid w:val="00350600"/>
    <w:rsid w:val="003A16D3"/>
    <w:rsid w:val="003D05A6"/>
    <w:rsid w:val="003D7C78"/>
    <w:rsid w:val="00430D00"/>
    <w:rsid w:val="00442D83"/>
    <w:rsid w:val="0047034C"/>
    <w:rsid w:val="00471275"/>
    <w:rsid w:val="004720C7"/>
    <w:rsid w:val="004D5B38"/>
    <w:rsid w:val="00524BE0"/>
    <w:rsid w:val="005910FA"/>
    <w:rsid w:val="00597621"/>
    <w:rsid w:val="005A0191"/>
    <w:rsid w:val="005D0033"/>
    <w:rsid w:val="005D37D5"/>
    <w:rsid w:val="005D48DA"/>
    <w:rsid w:val="005D655E"/>
    <w:rsid w:val="00664683"/>
    <w:rsid w:val="00680BDC"/>
    <w:rsid w:val="006979DA"/>
    <w:rsid w:val="006C127B"/>
    <w:rsid w:val="006E56D5"/>
    <w:rsid w:val="006F5272"/>
    <w:rsid w:val="006F6AF9"/>
    <w:rsid w:val="00773A3D"/>
    <w:rsid w:val="007F5A93"/>
    <w:rsid w:val="00830A27"/>
    <w:rsid w:val="00870CFA"/>
    <w:rsid w:val="008B61BC"/>
    <w:rsid w:val="008C3225"/>
    <w:rsid w:val="009208FC"/>
    <w:rsid w:val="009516AD"/>
    <w:rsid w:val="00980B61"/>
    <w:rsid w:val="00A813D8"/>
    <w:rsid w:val="00A97807"/>
    <w:rsid w:val="00AC4B5E"/>
    <w:rsid w:val="00AD05F8"/>
    <w:rsid w:val="00B63BBA"/>
    <w:rsid w:val="00B739FC"/>
    <w:rsid w:val="00B920F9"/>
    <w:rsid w:val="00BE7A28"/>
    <w:rsid w:val="00C0224D"/>
    <w:rsid w:val="00C22765"/>
    <w:rsid w:val="00C26939"/>
    <w:rsid w:val="00C43AC0"/>
    <w:rsid w:val="00C60719"/>
    <w:rsid w:val="00C7648F"/>
    <w:rsid w:val="00C94926"/>
    <w:rsid w:val="00C95DCB"/>
    <w:rsid w:val="00C9744B"/>
    <w:rsid w:val="00CB3605"/>
    <w:rsid w:val="00CE5CC0"/>
    <w:rsid w:val="00CF3B39"/>
    <w:rsid w:val="00D30F3A"/>
    <w:rsid w:val="00D440BA"/>
    <w:rsid w:val="00D7543E"/>
    <w:rsid w:val="00E2535D"/>
    <w:rsid w:val="00E41978"/>
    <w:rsid w:val="00E627BE"/>
    <w:rsid w:val="00E632EA"/>
    <w:rsid w:val="00E86CE3"/>
    <w:rsid w:val="00E90945"/>
    <w:rsid w:val="00E9173C"/>
    <w:rsid w:val="00EC3745"/>
    <w:rsid w:val="00EF21B8"/>
    <w:rsid w:val="00F05E4B"/>
    <w:rsid w:val="00F13184"/>
    <w:rsid w:val="00F72968"/>
    <w:rsid w:val="00F91E7D"/>
    <w:rsid w:val="00FA2D9D"/>
    <w:rsid w:val="00FB78F2"/>
    <w:rsid w:val="00FC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075D"/>
  <w15:chartTrackingRefBased/>
  <w15:docId w15:val="{C51E25AB-45CE-441C-96BA-9F473F5C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65"/>
    <w:pPr>
      <w:spacing w:after="200" w:line="276" w:lineRule="auto"/>
    </w:pPr>
  </w:style>
  <w:style w:type="paragraph" w:styleId="Heading1">
    <w:name w:val="heading 1"/>
    <w:basedOn w:val="Normal"/>
    <w:next w:val="Normal"/>
    <w:link w:val="Heading1Char"/>
    <w:uiPriority w:val="9"/>
    <w:qFormat/>
    <w:rsid w:val="00C22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7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27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27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7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27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27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2765"/>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C22765"/>
    <w:pPr>
      <w:spacing w:line="259" w:lineRule="auto"/>
      <w:outlineLvl w:val="9"/>
    </w:pPr>
  </w:style>
  <w:style w:type="paragraph" w:styleId="ListParagraph">
    <w:name w:val="List Paragraph"/>
    <w:basedOn w:val="Normal"/>
    <w:uiPriority w:val="1"/>
    <w:qFormat/>
    <w:rsid w:val="00C22765"/>
    <w:pPr>
      <w:ind w:left="720"/>
      <w:contextualSpacing/>
    </w:pPr>
  </w:style>
  <w:style w:type="paragraph" w:styleId="TOC1">
    <w:name w:val="toc 1"/>
    <w:basedOn w:val="Normal"/>
    <w:next w:val="Normal"/>
    <w:autoRedefine/>
    <w:uiPriority w:val="39"/>
    <w:unhideWhenUsed/>
    <w:rsid w:val="00C22765"/>
    <w:pPr>
      <w:spacing w:after="100"/>
    </w:pPr>
  </w:style>
  <w:style w:type="paragraph" w:styleId="TOC2">
    <w:name w:val="toc 2"/>
    <w:basedOn w:val="Normal"/>
    <w:next w:val="Normal"/>
    <w:autoRedefine/>
    <w:uiPriority w:val="39"/>
    <w:unhideWhenUsed/>
    <w:rsid w:val="00C22765"/>
    <w:pPr>
      <w:spacing w:after="100"/>
      <w:ind w:left="220"/>
    </w:pPr>
  </w:style>
  <w:style w:type="character" w:styleId="Hyperlink">
    <w:name w:val="Hyperlink"/>
    <w:basedOn w:val="DefaultParagraphFont"/>
    <w:uiPriority w:val="99"/>
    <w:unhideWhenUsed/>
    <w:rsid w:val="00C22765"/>
    <w:rPr>
      <w:color w:val="0563C1" w:themeColor="hyperlink"/>
      <w:u w:val="single"/>
    </w:rPr>
  </w:style>
  <w:style w:type="paragraph" w:styleId="TOC3">
    <w:name w:val="toc 3"/>
    <w:basedOn w:val="Normal"/>
    <w:next w:val="Normal"/>
    <w:autoRedefine/>
    <w:uiPriority w:val="39"/>
    <w:unhideWhenUsed/>
    <w:rsid w:val="00C22765"/>
    <w:pPr>
      <w:spacing w:after="100"/>
      <w:ind w:left="440"/>
    </w:pPr>
  </w:style>
  <w:style w:type="table" w:styleId="TableGrid">
    <w:name w:val="Table Grid"/>
    <w:basedOn w:val="TableNormal"/>
    <w:uiPriority w:val="39"/>
    <w:rsid w:val="00C2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22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rsid w:val="00C227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2765"/>
    <w:rPr>
      <w:sz w:val="16"/>
      <w:szCs w:val="16"/>
    </w:rPr>
  </w:style>
  <w:style w:type="paragraph" w:styleId="CommentText">
    <w:name w:val="annotation text"/>
    <w:basedOn w:val="Normal"/>
    <w:link w:val="CommentTextChar"/>
    <w:uiPriority w:val="99"/>
    <w:unhideWhenUsed/>
    <w:rsid w:val="00C22765"/>
    <w:pPr>
      <w:spacing w:line="240" w:lineRule="auto"/>
    </w:pPr>
    <w:rPr>
      <w:sz w:val="20"/>
      <w:szCs w:val="20"/>
    </w:rPr>
  </w:style>
  <w:style w:type="character" w:customStyle="1" w:styleId="CommentTextChar">
    <w:name w:val="Comment Text Char"/>
    <w:basedOn w:val="DefaultParagraphFont"/>
    <w:link w:val="CommentText"/>
    <w:uiPriority w:val="99"/>
    <w:rsid w:val="00C22765"/>
    <w:rPr>
      <w:sz w:val="20"/>
      <w:szCs w:val="20"/>
    </w:rPr>
  </w:style>
  <w:style w:type="paragraph" w:styleId="CommentSubject">
    <w:name w:val="annotation subject"/>
    <w:basedOn w:val="CommentText"/>
    <w:next w:val="CommentText"/>
    <w:link w:val="CommentSubjectChar"/>
    <w:uiPriority w:val="99"/>
    <w:semiHidden/>
    <w:unhideWhenUsed/>
    <w:rsid w:val="00C22765"/>
    <w:rPr>
      <w:b/>
      <w:bCs/>
    </w:rPr>
  </w:style>
  <w:style w:type="character" w:customStyle="1" w:styleId="CommentSubjectChar">
    <w:name w:val="Comment Subject Char"/>
    <w:basedOn w:val="CommentTextChar"/>
    <w:link w:val="CommentSubject"/>
    <w:uiPriority w:val="99"/>
    <w:semiHidden/>
    <w:rsid w:val="00C22765"/>
    <w:rPr>
      <w:b/>
      <w:bCs/>
      <w:sz w:val="20"/>
      <w:szCs w:val="20"/>
    </w:rPr>
  </w:style>
  <w:style w:type="paragraph" w:styleId="BalloonText">
    <w:name w:val="Balloon Text"/>
    <w:basedOn w:val="Normal"/>
    <w:link w:val="BalloonTextChar"/>
    <w:uiPriority w:val="99"/>
    <w:semiHidden/>
    <w:unhideWhenUsed/>
    <w:rsid w:val="00C2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65"/>
    <w:rPr>
      <w:rFonts w:ascii="Segoe UI" w:hAnsi="Segoe UI" w:cs="Segoe UI"/>
      <w:sz w:val="18"/>
      <w:szCs w:val="18"/>
    </w:rPr>
  </w:style>
  <w:style w:type="paragraph" w:styleId="NoSpacing">
    <w:name w:val="No Spacing"/>
    <w:uiPriority w:val="1"/>
    <w:qFormat/>
    <w:rsid w:val="00C22765"/>
    <w:pPr>
      <w:spacing w:after="0" w:line="240" w:lineRule="auto"/>
    </w:pPr>
  </w:style>
  <w:style w:type="paragraph" w:styleId="Header">
    <w:name w:val="header"/>
    <w:basedOn w:val="Normal"/>
    <w:link w:val="HeaderChar"/>
    <w:uiPriority w:val="99"/>
    <w:unhideWhenUsed/>
    <w:rsid w:val="00C2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65"/>
  </w:style>
  <w:style w:type="paragraph" w:styleId="Footer">
    <w:name w:val="footer"/>
    <w:basedOn w:val="Normal"/>
    <w:link w:val="FooterChar"/>
    <w:uiPriority w:val="99"/>
    <w:unhideWhenUsed/>
    <w:rsid w:val="00C2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65"/>
  </w:style>
  <w:style w:type="paragraph" w:styleId="NormalWeb">
    <w:name w:val="Normal (Web)"/>
    <w:basedOn w:val="Normal"/>
    <w:uiPriority w:val="99"/>
    <w:unhideWhenUsed/>
    <w:rsid w:val="00C22765"/>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C227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C227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CB3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mhsa.gov/dtac/cc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hs.wisconsin.gov/publications/p0314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reparedness/systems/emtrack.htm" TargetMode="External"/><Relationship Id="rId5" Type="http://schemas.openxmlformats.org/officeDocument/2006/relationships/webSettings" Target="webSettings.xml"/><Relationship Id="rId15" Type="http://schemas.openxmlformats.org/officeDocument/2006/relationships/hyperlink" Target="https://cdp.dhs.gov/training/course/PER-902" TargetMode="External"/><Relationship Id="rId23" Type="http://schemas.openxmlformats.org/officeDocument/2006/relationships/theme" Target="theme/theme1.xml"/><Relationship Id="rId10" Type="http://schemas.openxmlformats.org/officeDocument/2006/relationships/hyperlink" Target="https://oec.wi.gov/wi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hs.wisconsin.gov/preparedness/systems/emresource.htm" TargetMode="External"/><Relationship Id="rId14" Type="http://schemas.openxmlformats.org/officeDocument/2006/relationships/hyperlink" Target="https://www.ahls.org/si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D5CB-925D-4EAD-A3AD-7030D61B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Amanda J</dc:creator>
  <cp:keywords/>
  <dc:description/>
  <cp:lastModifiedBy>Tracey Froiland</cp:lastModifiedBy>
  <cp:revision>3</cp:revision>
  <dcterms:created xsi:type="dcterms:W3CDTF">2022-12-20T15:09:00Z</dcterms:created>
  <dcterms:modified xsi:type="dcterms:W3CDTF">2022-12-20T15:10:00Z</dcterms:modified>
</cp:coreProperties>
</file>